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737E" w:rsidRDefault="0006737E" w:rsidP="00635EEF">
      <w:pPr>
        <w:pStyle w:val="Default"/>
        <w:jc w:val="right"/>
      </w:pPr>
    </w:p>
    <w:p w:rsidR="00635EEF" w:rsidRDefault="00635EEF" w:rsidP="00635EEF">
      <w:pPr>
        <w:pStyle w:val="Default"/>
        <w:jc w:val="right"/>
        <w:rPr>
          <w:sz w:val="28"/>
          <w:szCs w:val="28"/>
        </w:rPr>
      </w:pPr>
      <w:r>
        <w:t xml:space="preserve"> </w:t>
      </w:r>
      <w:r>
        <w:rPr>
          <w:sz w:val="28"/>
          <w:szCs w:val="28"/>
        </w:rPr>
        <w:t xml:space="preserve">Приложение B </w:t>
      </w:r>
    </w:p>
    <w:p w:rsidR="00635EEF" w:rsidRDefault="00635EEF" w:rsidP="00635EEF">
      <w:pPr>
        <w:pStyle w:val="Default"/>
        <w:spacing w:after="240"/>
        <w:jc w:val="right"/>
        <w:rPr>
          <w:sz w:val="28"/>
          <w:szCs w:val="28"/>
        </w:rPr>
      </w:pPr>
      <w:r>
        <w:rPr>
          <w:sz w:val="28"/>
          <w:szCs w:val="28"/>
        </w:rPr>
        <w:t xml:space="preserve">к информационному письму №1 </w:t>
      </w:r>
    </w:p>
    <w:p w:rsidR="00635EEF" w:rsidRDefault="00635EEF" w:rsidP="00635EEF">
      <w:pPr>
        <w:pStyle w:val="Default"/>
        <w:spacing w:after="240"/>
        <w:jc w:val="center"/>
        <w:rPr>
          <w:sz w:val="28"/>
          <w:szCs w:val="28"/>
        </w:rPr>
      </w:pPr>
      <w:r>
        <w:rPr>
          <w:b/>
          <w:bCs/>
          <w:sz w:val="28"/>
          <w:szCs w:val="28"/>
        </w:rPr>
        <w:t xml:space="preserve">Требования к оформлению </w:t>
      </w:r>
      <w:r w:rsidR="00660B58">
        <w:rPr>
          <w:b/>
          <w:bCs/>
          <w:sz w:val="28"/>
          <w:szCs w:val="28"/>
        </w:rPr>
        <w:t>тезис</w:t>
      </w:r>
      <w:r w:rsidR="00F31429">
        <w:rPr>
          <w:b/>
          <w:bCs/>
          <w:sz w:val="28"/>
          <w:szCs w:val="28"/>
        </w:rPr>
        <w:t>ов</w:t>
      </w:r>
      <w:r w:rsidR="00660B58">
        <w:rPr>
          <w:b/>
          <w:bCs/>
          <w:sz w:val="28"/>
          <w:szCs w:val="28"/>
        </w:rPr>
        <w:t xml:space="preserve"> доклада</w:t>
      </w:r>
    </w:p>
    <w:p w:rsidR="00635EEF" w:rsidRDefault="00635EEF" w:rsidP="00635EEF">
      <w:pPr>
        <w:pStyle w:val="Default"/>
        <w:spacing w:after="240"/>
        <w:rPr>
          <w:sz w:val="28"/>
          <w:szCs w:val="28"/>
        </w:rPr>
      </w:pPr>
      <w:r>
        <w:rPr>
          <w:b/>
          <w:bCs/>
          <w:sz w:val="28"/>
          <w:szCs w:val="28"/>
        </w:rPr>
        <w:t xml:space="preserve">Общие требования: </w:t>
      </w:r>
    </w:p>
    <w:p w:rsidR="00635EEF" w:rsidRDefault="00635EEF" w:rsidP="00635EEF">
      <w:pPr>
        <w:pStyle w:val="Default"/>
        <w:spacing w:after="240"/>
        <w:rPr>
          <w:sz w:val="28"/>
          <w:szCs w:val="28"/>
        </w:rPr>
      </w:pPr>
      <w:r>
        <w:rPr>
          <w:sz w:val="28"/>
          <w:szCs w:val="28"/>
        </w:rPr>
        <w:t xml:space="preserve">Размер </w:t>
      </w:r>
      <w:r w:rsidR="00660B58">
        <w:rPr>
          <w:sz w:val="28"/>
          <w:szCs w:val="28"/>
        </w:rPr>
        <w:t>тезис</w:t>
      </w:r>
      <w:r w:rsidR="000F11F9">
        <w:rPr>
          <w:sz w:val="28"/>
          <w:szCs w:val="28"/>
        </w:rPr>
        <w:t>ов</w:t>
      </w:r>
      <w:r w:rsidR="00660B58">
        <w:rPr>
          <w:sz w:val="28"/>
          <w:szCs w:val="28"/>
        </w:rPr>
        <w:t xml:space="preserve"> доклада</w:t>
      </w:r>
      <w:r>
        <w:rPr>
          <w:sz w:val="28"/>
          <w:szCs w:val="28"/>
        </w:rPr>
        <w:t xml:space="preserve"> не </w:t>
      </w:r>
      <w:r w:rsidRPr="00710748">
        <w:rPr>
          <w:sz w:val="28"/>
          <w:szCs w:val="28"/>
        </w:rPr>
        <w:t xml:space="preserve">более </w:t>
      </w:r>
      <w:r w:rsidR="000F11F9" w:rsidRPr="00710748">
        <w:rPr>
          <w:sz w:val="28"/>
          <w:szCs w:val="28"/>
        </w:rPr>
        <w:t>2-3</w:t>
      </w:r>
      <w:r w:rsidR="008033D4">
        <w:rPr>
          <w:sz w:val="28"/>
          <w:szCs w:val="28"/>
        </w:rPr>
        <w:t xml:space="preserve"> страниц</w:t>
      </w:r>
      <w:r>
        <w:rPr>
          <w:sz w:val="28"/>
          <w:szCs w:val="28"/>
        </w:rPr>
        <w:t xml:space="preserve">. </w:t>
      </w:r>
    </w:p>
    <w:p w:rsidR="00635EEF" w:rsidRDefault="00660B58" w:rsidP="00C86DDE">
      <w:pPr>
        <w:pStyle w:val="Default"/>
        <w:tabs>
          <w:tab w:val="left" w:pos="1134"/>
        </w:tabs>
        <w:ind w:firstLine="709"/>
        <w:jc w:val="both"/>
        <w:rPr>
          <w:sz w:val="28"/>
          <w:szCs w:val="28"/>
        </w:rPr>
      </w:pPr>
      <w:r>
        <w:rPr>
          <w:sz w:val="28"/>
          <w:szCs w:val="28"/>
        </w:rPr>
        <w:t>Тезис</w:t>
      </w:r>
      <w:r w:rsidR="000F11F9">
        <w:rPr>
          <w:sz w:val="28"/>
          <w:szCs w:val="28"/>
        </w:rPr>
        <w:t>ы</w:t>
      </w:r>
      <w:r w:rsidRPr="00660B58">
        <w:rPr>
          <w:sz w:val="28"/>
          <w:szCs w:val="28"/>
        </w:rPr>
        <w:t xml:space="preserve"> доклада</w:t>
      </w:r>
      <w:r w:rsidR="00B932E7">
        <w:rPr>
          <w:sz w:val="28"/>
          <w:szCs w:val="28"/>
        </w:rPr>
        <w:t xml:space="preserve"> долж</w:t>
      </w:r>
      <w:r w:rsidR="00635EEF">
        <w:rPr>
          <w:sz w:val="28"/>
          <w:szCs w:val="28"/>
        </w:rPr>
        <w:t>н</w:t>
      </w:r>
      <w:r w:rsidR="00B932E7">
        <w:rPr>
          <w:sz w:val="28"/>
          <w:szCs w:val="28"/>
        </w:rPr>
        <w:t>ы</w:t>
      </w:r>
      <w:r w:rsidR="00635EEF">
        <w:rPr>
          <w:sz w:val="28"/>
          <w:szCs w:val="28"/>
        </w:rPr>
        <w:t xml:space="preserve"> быть напечатан</w:t>
      </w:r>
      <w:r w:rsidR="008033D4">
        <w:rPr>
          <w:sz w:val="28"/>
          <w:szCs w:val="28"/>
        </w:rPr>
        <w:t>ы</w:t>
      </w:r>
      <w:r w:rsidR="00635EEF">
        <w:rPr>
          <w:sz w:val="28"/>
          <w:szCs w:val="28"/>
        </w:rPr>
        <w:t xml:space="preserve"> (набран</w:t>
      </w:r>
      <w:r w:rsidR="008033D4">
        <w:rPr>
          <w:sz w:val="28"/>
          <w:szCs w:val="28"/>
        </w:rPr>
        <w:t>ы</w:t>
      </w:r>
      <w:r w:rsidR="00635EEF">
        <w:rPr>
          <w:sz w:val="28"/>
          <w:szCs w:val="28"/>
        </w:rPr>
        <w:t xml:space="preserve">) в текстовом редакторе </w:t>
      </w:r>
      <w:proofErr w:type="spellStart"/>
      <w:r w:rsidR="00635EEF">
        <w:rPr>
          <w:sz w:val="28"/>
          <w:szCs w:val="28"/>
        </w:rPr>
        <w:t>Word</w:t>
      </w:r>
      <w:proofErr w:type="spellEnd"/>
      <w:r w:rsidR="00635EEF">
        <w:rPr>
          <w:sz w:val="28"/>
          <w:szCs w:val="28"/>
        </w:rPr>
        <w:t xml:space="preserve">. При использовании текстового редактора </w:t>
      </w:r>
      <w:proofErr w:type="spellStart"/>
      <w:r w:rsidR="00635EEF">
        <w:rPr>
          <w:sz w:val="28"/>
          <w:szCs w:val="28"/>
        </w:rPr>
        <w:t>Word</w:t>
      </w:r>
      <w:proofErr w:type="spellEnd"/>
      <w:r w:rsidR="00635EEF">
        <w:rPr>
          <w:sz w:val="28"/>
          <w:szCs w:val="28"/>
        </w:rPr>
        <w:t xml:space="preserve"> следует придерживаться следующих правил: </w:t>
      </w:r>
    </w:p>
    <w:p w:rsidR="00635EEF" w:rsidRDefault="00635EEF" w:rsidP="00C86DDE">
      <w:pPr>
        <w:pStyle w:val="Default"/>
        <w:tabs>
          <w:tab w:val="left" w:pos="1418"/>
        </w:tabs>
        <w:spacing w:after="38"/>
        <w:ind w:firstLine="709"/>
        <w:jc w:val="both"/>
        <w:rPr>
          <w:sz w:val="28"/>
          <w:szCs w:val="28"/>
        </w:rPr>
      </w:pPr>
      <w:r>
        <w:rPr>
          <w:sz w:val="28"/>
          <w:szCs w:val="28"/>
        </w:rPr>
        <w:t xml:space="preserve">1. </w:t>
      </w:r>
      <w:r>
        <w:rPr>
          <w:b/>
          <w:bCs/>
          <w:sz w:val="28"/>
          <w:szCs w:val="28"/>
        </w:rPr>
        <w:t xml:space="preserve">Текст </w:t>
      </w:r>
      <w:r>
        <w:rPr>
          <w:sz w:val="28"/>
          <w:szCs w:val="28"/>
        </w:rPr>
        <w:t xml:space="preserve">должен быть расположен на листе формата А4 по ширине страницы с учётом полей (левое, правое, нижнее – 2,5 см, верхнее – 2,0 см), набран шрифтом </w:t>
      </w:r>
      <w:proofErr w:type="spellStart"/>
      <w:r>
        <w:rPr>
          <w:sz w:val="28"/>
          <w:szCs w:val="28"/>
        </w:rPr>
        <w:t>Times</w:t>
      </w:r>
      <w:proofErr w:type="spellEnd"/>
      <w:r>
        <w:rPr>
          <w:sz w:val="28"/>
          <w:szCs w:val="28"/>
        </w:rPr>
        <w:t xml:space="preserve"> </w:t>
      </w:r>
      <w:proofErr w:type="spellStart"/>
      <w:r>
        <w:rPr>
          <w:sz w:val="28"/>
          <w:szCs w:val="28"/>
        </w:rPr>
        <w:t>New</w:t>
      </w:r>
      <w:proofErr w:type="spellEnd"/>
      <w:r>
        <w:rPr>
          <w:sz w:val="28"/>
          <w:szCs w:val="28"/>
        </w:rPr>
        <w:t xml:space="preserve"> </w:t>
      </w:r>
      <w:proofErr w:type="spellStart"/>
      <w:r>
        <w:rPr>
          <w:sz w:val="28"/>
          <w:szCs w:val="28"/>
        </w:rPr>
        <w:t>Roman</w:t>
      </w:r>
      <w:proofErr w:type="spellEnd"/>
      <w:r>
        <w:rPr>
          <w:sz w:val="28"/>
          <w:szCs w:val="28"/>
        </w:rPr>
        <w:t xml:space="preserve">, кегель 12 </w:t>
      </w:r>
      <w:proofErr w:type="spellStart"/>
      <w:r>
        <w:rPr>
          <w:sz w:val="28"/>
          <w:szCs w:val="28"/>
        </w:rPr>
        <w:t>пт</w:t>
      </w:r>
      <w:proofErr w:type="spellEnd"/>
      <w:r>
        <w:rPr>
          <w:sz w:val="28"/>
          <w:szCs w:val="28"/>
        </w:rPr>
        <w:t>, отступ 1,25</w:t>
      </w:r>
      <w:r w:rsidR="000F11F9">
        <w:rPr>
          <w:sz w:val="28"/>
          <w:szCs w:val="28"/>
        </w:rPr>
        <w:t xml:space="preserve"> </w:t>
      </w:r>
      <w:r>
        <w:rPr>
          <w:sz w:val="28"/>
          <w:szCs w:val="28"/>
        </w:rPr>
        <w:t xml:space="preserve">см, межстрочный интервал –1. </w:t>
      </w:r>
    </w:p>
    <w:p w:rsidR="00635EEF" w:rsidRDefault="00635EEF" w:rsidP="00C86DDE">
      <w:pPr>
        <w:pStyle w:val="Default"/>
        <w:tabs>
          <w:tab w:val="left" w:pos="993"/>
        </w:tabs>
        <w:ind w:firstLine="709"/>
        <w:jc w:val="both"/>
        <w:rPr>
          <w:sz w:val="28"/>
          <w:szCs w:val="28"/>
        </w:rPr>
      </w:pPr>
      <w:r>
        <w:rPr>
          <w:sz w:val="28"/>
          <w:szCs w:val="28"/>
        </w:rPr>
        <w:t xml:space="preserve">2. </w:t>
      </w:r>
      <w:r w:rsidR="00710748">
        <w:rPr>
          <w:sz w:val="28"/>
          <w:szCs w:val="28"/>
        </w:rPr>
        <w:tab/>
      </w:r>
      <w:r w:rsidR="000F11F9">
        <w:rPr>
          <w:b/>
          <w:bCs/>
          <w:sz w:val="28"/>
          <w:szCs w:val="28"/>
        </w:rPr>
        <w:t>Название тезисов</w:t>
      </w:r>
      <w:r>
        <w:rPr>
          <w:b/>
          <w:bCs/>
          <w:sz w:val="28"/>
          <w:szCs w:val="28"/>
        </w:rPr>
        <w:t xml:space="preserve"> </w:t>
      </w:r>
      <w:r>
        <w:rPr>
          <w:sz w:val="28"/>
          <w:szCs w:val="28"/>
        </w:rPr>
        <w:t xml:space="preserve">(жирным </w:t>
      </w:r>
      <w:r w:rsidR="000F11F9">
        <w:rPr>
          <w:sz w:val="28"/>
          <w:szCs w:val="28"/>
        </w:rPr>
        <w:t xml:space="preserve">прописным </w:t>
      </w:r>
      <w:r>
        <w:rPr>
          <w:sz w:val="28"/>
          <w:szCs w:val="28"/>
        </w:rPr>
        <w:t>шрифтом</w:t>
      </w:r>
      <w:r w:rsidR="000F11F9" w:rsidRPr="000F11F9">
        <w:rPr>
          <w:sz w:val="28"/>
          <w:szCs w:val="28"/>
        </w:rPr>
        <w:t xml:space="preserve"> </w:t>
      </w:r>
      <w:proofErr w:type="spellStart"/>
      <w:r w:rsidR="000F11F9">
        <w:rPr>
          <w:sz w:val="28"/>
          <w:szCs w:val="28"/>
        </w:rPr>
        <w:t>Times</w:t>
      </w:r>
      <w:proofErr w:type="spellEnd"/>
      <w:r w:rsidR="000F11F9">
        <w:rPr>
          <w:sz w:val="28"/>
          <w:szCs w:val="28"/>
        </w:rPr>
        <w:t xml:space="preserve"> </w:t>
      </w:r>
      <w:proofErr w:type="spellStart"/>
      <w:r w:rsidR="000F11F9">
        <w:rPr>
          <w:sz w:val="28"/>
          <w:szCs w:val="28"/>
        </w:rPr>
        <w:t>New</w:t>
      </w:r>
      <w:proofErr w:type="spellEnd"/>
      <w:r w:rsidR="000F11F9">
        <w:rPr>
          <w:sz w:val="28"/>
          <w:szCs w:val="28"/>
        </w:rPr>
        <w:t xml:space="preserve"> </w:t>
      </w:r>
      <w:proofErr w:type="spellStart"/>
      <w:r w:rsidR="000F11F9">
        <w:rPr>
          <w:sz w:val="28"/>
          <w:szCs w:val="28"/>
        </w:rPr>
        <w:t>Roman</w:t>
      </w:r>
      <w:proofErr w:type="spellEnd"/>
      <w:r w:rsidR="000A4794">
        <w:rPr>
          <w:sz w:val="28"/>
          <w:szCs w:val="28"/>
        </w:rPr>
        <w:t xml:space="preserve"> шрифтом, кег</w:t>
      </w:r>
      <w:r w:rsidR="00660B58">
        <w:rPr>
          <w:sz w:val="28"/>
          <w:szCs w:val="28"/>
        </w:rPr>
        <w:t xml:space="preserve">ль 12 </w:t>
      </w:r>
      <w:proofErr w:type="spellStart"/>
      <w:r w:rsidR="00660B58">
        <w:rPr>
          <w:sz w:val="28"/>
          <w:szCs w:val="28"/>
        </w:rPr>
        <w:t>пт</w:t>
      </w:r>
      <w:proofErr w:type="spellEnd"/>
      <w:r>
        <w:rPr>
          <w:sz w:val="28"/>
          <w:szCs w:val="28"/>
        </w:rPr>
        <w:t>) 1 интервалом и располагаются по центру строки.</w:t>
      </w:r>
    </w:p>
    <w:p w:rsidR="00635EEF" w:rsidRDefault="00635EEF" w:rsidP="00F31429">
      <w:pPr>
        <w:pStyle w:val="Default"/>
        <w:tabs>
          <w:tab w:val="left" w:pos="1418"/>
        </w:tabs>
        <w:ind w:firstLine="709"/>
        <w:jc w:val="both"/>
        <w:rPr>
          <w:sz w:val="28"/>
          <w:szCs w:val="28"/>
        </w:rPr>
      </w:pPr>
      <w:r>
        <w:rPr>
          <w:sz w:val="28"/>
          <w:szCs w:val="28"/>
        </w:rPr>
        <w:t xml:space="preserve">Переносы слов в </w:t>
      </w:r>
      <w:r w:rsidR="000F11F9">
        <w:rPr>
          <w:sz w:val="28"/>
          <w:szCs w:val="28"/>
        </w:rPr>
        <w:t>названии</w:t>
      </w:r>
      <w:r>
        <w:rPr>
          <w:sz w:val="28"/>
          <w:szCs w:val="28"/>
        </w:rPr>
        <w:t xml:space="preserve"> не допускаются. </w:t>
      </w:r>
    </w:p>
    <w:p w:rsidR="00635EEF" w:rsidRDefault="00635EEF" w:rsidP="00F31429">
      <w:pPr>
        <w:pStyle w:val="Default"/>
        <w:tabs>
          <w:tab w:val="left" w:pos="1418"/>
        </w:tabs>
        <w:ind w:firstLine="709"/>
        <w:jc w:val="both"/>
        <w:rPr>
          <w:sz w:val="28"/>
          <w:szCs w:val="28"/>
        </w:rPr>
      </w:pPr>
      <w:r>
        <w:rPr>
          <w:sz w:val="28"/>
          <w:szCs w:val="28"/>
        </w:rPr>
        <w:t xml:space="preserve">Точку в конце </w:t>
      </w:r>
      <w:r w:rsidR="007B135A">
        <w:rPr>
          <w:sz w:val="28"/>
          <w:szCs w:val="28"/>
        </w:rPr>
        <w:t>названия</w:t>
      </w:r>
      <w:r>
        <w:rPr>
          <w:sz w:val="28"/>
          <w:szCs w:val="28"/>
        </w:rPr>
        <w:t xml:space="preserve"> не ставят. </w:t>
      </w:r>
    </w:p>
    <w:p w:rsidR="00635EEF" w:rsidRDefault="00635EEF" w:rsidP="00F31429">
      <w:pPr>
        <w:pStyle w:val="Default"/>
        <w:tabs>
          <w:tab w:val="left" w:pos="1418"/>
        </w:tabs>
        <w:ind w:firstLine="709"/>
        <w:jc w:val="both"/>
        <w:rPr>
          <w:sz w:val="28"/>
          <w:szCs w:val="28"/>
        </w:rPr>
      </w:pPr>
      <w:r>
        <w:rPr>
          <w:sz w:val="28"/>
          <w:szCs w:val="28"/>
        </w:rPr>
        <w:t xml:space="preserve">Название статьи приводится на русском и английском языках. </w:t>
      </w:r>
    </w:p>
    <w:p w:rsidR="00635EEF" w:rsidRDefault="00635EEF" w:rsidP="00C86DDE">
      <w:pPr>
        <w:pStyle w:val="Default"/>
        <w:tabs>
          <w:tab w:val="left" w:pos="993"/>
        </w:tabs>
        <w:spacing w:after="36"/>
        <w:ind w:firstLine="709"/>
        <w:jc w:val="both"/>
        <w:rPr>
          <w:sz w:val="28"/>
          <w:szCs w:val="28"/>
        </w:rPr>
      </w:pPr>
      <w:r>
        <w:rPr>
          <w:sz w:val="28"/>
          <w:szCs w:val="28"/>
        </w:rPr>
        <w:t xml:space="preserve">3. </w:t>
      </w:r>
      <w:r w:rsidR="00710748">
        <w:rPr>
          <w:sz w:val="28"/>
          <w:szCs w:val="28"/>
        </w:rPr>
        <w:tab/>
      </w:r>
      <w:r>
        <w:rPr>
          <w:b/>
          <w:bCs/>
          <w:sz w:val="28"/>
          <w:szCs w:val="28"/>
        </w:rPr>
        <w:t xml:space="preserve">Фамилии авторов </w:t>
      </w:r>
      <w:r>
        <w:rPr>
          <w:sz w:val="28"/>
          <w:szCs w:val="28"/>
        </w:rPr>
        <w:t>указываются на русском и английском языках после названия статьи. Ниже пишется учреждение, город. Также необходимо указать e-</w:t>
      </w:r>
      <w:proofErr w:type="spellStart"/>
      <w:r>
        <w:rPr>
          <w:sz w:val="28"/>
          <w:szCs w:val="28"/>
        </w:rPr>
        <w:t>mail</w:t>
      </w:r>
      <w:proofErr w:type="spellEnd"/>
      <w:r>
        <w:rPr>
          <w:sz w:val="28"/>
          <w:szCs w:val="28"/>
        </w:rPr>
        <w:t xml:space="preserve"> для связи с авторами. </w:t>
      </w:r>
    </w:p>
    <w:p w:rsidR="00635EEF" w:rsidRDefault="00635EEF" w:rsidP="00C86DDE">
      <w:pPr>
        <w:pStyle w:val="Default"/>
        <w:tabs>
          <w:tab w:val="left" w:pos="993"/>
        </w:tabs>
        <w:spacing w:after="36"/>
        <w:ind w:firstLine="709"/>
        <w:jc w:val="both"/>
        <w:rPr>
          <w:sz w:val="28"/>
          <w:szCs w:val="28"/>
        </w:rPr>
      </w:pPr>
      <w:r>
        <w:rPr>
          <w:sz w:val="28"/>
          <w:szCs w:val="28"/>
        </w:rPr>
        <w:t xml:space="preserve">4. </w:t>
      </w:r>
      <w:r w:rsidR="00710748">
        <w:rPr>
          <w:sz w:val="28"/>
          <w:szCs w:val="28"/>
        </w:rPr>
        <w:tab/>
      </w:r>
      <w:r>
        <w:rPr>
          <w:b/>
          <w:bCs/>
          <w:sz w:val="28"/>
          <w:szCs w:val="28"/>
        </w:rPr>
        <w:t xml:space="preserve">Аннотации </w:t>
      </w:r>
      <w:r w:rsidR="0080376B">
        <w:rPr>
          <w:sz w:val="28"/>
          <w:szCs w:val="28"/>
        </w:rPr>
        <w:t>набирают кег</w:t>
      </w:r>
      <w:r>
        <w:rPr>
          <w:sz w:val="28"/>
          <w:szCs w:val="28"/>
        </w:rPr>
        <w:t xml:space="preserve">лем 11 </w:t>
      </w:r>
      <w:proofErr w:type="spellStart"/>
      <w:r>
        <w:rPr>
          <w:sz w:val="28"/>
          <w:szCs w:val="28"/>
        </w:rPr>
        <w:t>пт</w:t>
      </w:r>
      <w:proofErr w:type="spellEnd"/>
      <w:r>
        <w:rPr>
          <w:sz w:val="28"/>
          <w:szCs w:val="28"/>
        </w:rPr>
        <w:t xml:space="preserve">, </w:t>
      </w:r>
      <w:r>
        <w:rPr>
          <w:i/>
          <w:iCs/>
          <w:sz w:val="28"/>
          <w:szCs w:val="28"/>
        </w:rPr>
        <w:t xml:space="preserve">курсивом </w:t>
      </w:r>
      <w:r>
        <w:rPr>
          <w:sz w:val="28"/>
          <w:szCs w:val="28"/>
        </w:rPr>
        <w:t xml:space="preserve">с отступом 3 см, после заголовка. Аннотация приводится на русском и английских языках. </w:t>
      </w:r>
    </w:p>
    <w:p w:rsidR="00635EEF" w:rsidRDefault="00635EEF" w:rsidP="005201FC">
      <w:pPr>
        <w:pStyle w:val="Default"/>
        <w:tabs>
          <w:tab w:val="left" w:pos="993"/>
        </w:tabs>
        <w:spacing w:after="36"/>
        <w:ind w:firstLine="709"/>
        <w:jc w:val="both"/>
        <w:rPr>
          <w:sz w:val="28"/>
          <w:szCs w:val="28"/>
        </w:rPr>
      </w:pPr>
      <w:r>
        <w:rPr>
          <w:sz w:val="28"/>
          <w:szCs w:val="28"/>
        </w:rPr>
        <w:t xml:space="preserve">5. </w:t>
      </w:r>
      <w:r w:rsidR="00710748">
        <w:rPr>
          <w:sz w:val="28"/>
          <w:szCs w:val="28"/>
        </w:rPr>
        <w:tab/>
      </w:r>
      <w:r>
        <w:rPr>
          <w:b/>
          <w:bCs/>
          <w:sz w:val="28"/>
          <w:szCs w:val="28"/>
        </w:rPr>
        <w:t xml:space="preserve">Ключевые слова </w:t>
      </w:r>
      <w:r>
        <w:rPr>
          <w:sz w:val="28"/>
          <w:szCs w:val="28"/>
        </w:rPr>
        <w:t xml:space="preserve">указываются после аннотации на русском и английском языках набранные шрифтом </w:t>
      </w:r>
      <w:proofErr w:type="spellStart"/>
      <w:r>
        <w:rPr>
          <w:sz w:val="28"/>
          <w:szCs w:val="28"/>
        </w:rPr>
        <w:t>Times</w:t>
      </w:r>
      <w:proofErr w:type="spellEnd"/>
      <w:r>
        <w:rPr>
          <w:sz w:val="28"/>
          <w:szCs w:val="28"/>
        </w:rPr>
        <w:t xml:space="preserve"> </w:t>
      </w:r>
      <w:proofErr w:type="spellStart"/>
      <w:r>
        <w:rPr>
          <w:sz w:val="28"/>
          <w:szCs w:val="28"/>
        </w:rPr>
        <w:t>New</w:t>
      </w:r>
      <w:proofErr w:type="spellEnd"/>
      <w:r>
        <w:rPr>
          <w:sz w:val="28"/>
          <w:szCs w:val="28"/>
        </w:rPr>
        <w:t xml:space="preserve"> </w:t>
      </w:r>
      <w:proofErr w:type="spellStart"/>
      <w:r>
        <w:rPr>
          <w:sz w:val="28"/>
          <w:szCs w:val="28"/>
        </w:rPr>
        <w:t>Roman</w:t>
      </w:r>
      <w:proofErr w:type="spellEnd"/>
      <w:r>
        <w:rPr>
          <w:sz w:val="28"/>
          <w:szCs w:val="28"/>
        </w:rPr>
        <w:t xml:space="preserve"> (</w:t>
      </w:r>
      <w:proofErr w:type="spellStart"/>
      <w:r>
        <w:rPr>
          <w:sz w:val="28"/>
          <w:szCs w:val="28"/>
        </w:rPr>
        <w:t>Cyr</w:t>
      </w:r>
      <w:proofErr w:type="spellEnd"/>
      <w:r w:rsidR="0080376B">
        <w:rPr>
          <w:sz w:val="28"/>
          <w:szCs w:val="28"/>
        </w:rPr>
        <w:t>), кег</w:t>
      </w:r>
      <w:r>
        <w:rPr>
          <w:sz w:val="28"/>
          <w:szCs w:val="28"/>
        </w:rPr>
        <w:t xml:space="preserve">ль 11 пт. </w:t>
      </w:r>
    </w:p>
    <w:p w:rsidR="00635EEF" w:rsidRDefault="00635EEF" w:rsidP="005201FC">
      <w:pPr>
        <w:pStyle w:val="Default"/>
        <w:tabs>
          <w:tab w:val="left" w:pos="993"/>
        </w:tabs>
        <w:spacing w:after="36"/>
        <w:ind w:firstLine="709"/>
        <w:jc w:val="both"/>
        <w:rPr>
          <w:sz w:val="28"/>
          <w:szCs w:val="28"/>
        </w:rPr>
      </w:pPr>
      <w:r>
        <w:rPr>
          <w:sz w:val="28"/>
          <w:szCs w:val="28"/>
        </w:rPr>
        <w:t xml:space="preserve">6. </w:t>
      </w:r>
      <w:r w:rsidR="00710748">
        <w:rPr>
          <w:sz w:val="28"/>
          <w:szCs w:val="28"/>
        </w:rPr>
        <w:tab/>
      </w:r>
      <w:r>
        <w:rPr>
          <w:b/>
          <w:bCs/>
          <w:sz w:val="28"/>
          <w:szCs w:val="28"/>
        </w:rPr>
        <w:t xml:space="preserve">Формулы, </w:t>
      </w:r>
      <w:r>
        <w:rPr>
          <w:sz w:val="28"/>
          <w:szCs w:val="28"/>
        </w:rPr>
        <w:t xml:space="preserve">даже состоящие из единственного символа, набираются с использованием редактора формул </w:t>
      </w:r>
      <w:proofErr w:type="spellStart"/>
      <w:r>
        <w:rPr>
          <w:sz w:val="28"/>
          <w:szCs w:val="28"/>
        </w:rPr>
        <w:t>Equation</w:t>
      </w:r>
      <w:proofErr w:type="spellEnd"/>
      <w:r>
        <w:rPr>
          <w:sz w:val="28"/>
          <w:szCs w:val="28"/>
        </w:rPr>
        <w:t xml:space="preserve"> </w:t>
      </w:r>
      <w:proofErr w:type="spellStart"/>
      <w:r>
        <w:rPr>
          <w:sz w:val="28"/>
          <w:szCs w:val="28"/>
        </w:rPr>
        <w:t>Editor</w:t>
      </w:r>
      <w:proofErr w:type="spellEnd"/>
      <w:r>
        <w:rPr>
          <w:sz w:val="28"/>
          <w:szCs w:val="28"/>
        </w:rPr>
        <w:t xml:space="preserve"> или </w:t>
      </w:r>
      <w:proofErr w:type="spellStart"/>
      <w:r>
        <w:rPr>
          <w:sz w:val="28"/>
          <w:szCs w:val="28"/>
        </w:rPr>
        <w:t>MathType</w:t>
      </w:r>
      <w:proofErr w:type="spellEnd"/>
      <w:r>
        <w:rPr>
          <w:sz w:val="28"/>
          <w:szCs w:val="28"/>
        </w:rPr>
        <w:t xml:space="preserve">. Категорически не допускается замена латинских и греческих букв сходными по начертанию русскими, а также знака суммы заглавной буквой сигма. Если необходимо использовать в формулах русские буквы, то их следует набирать в текстовом стиле. </w:t>
      </w:r>
    </w:p>
    <w:p w:rsidR="00635EEF" w:rsidRDefault="00635EEF" w:rsidP="00481A1B">
      <w:pPr>
        <w:pStyle w:val="Default"/>
        <w:tabs>
          <w:tab w:val="left" w:pos="567"/>
          <w:tab w:val="left" w:pos="993"/>
        </w:tabs>
        <w:spacing w:after="36"/>
        <w:ind w:firstLine="709"/>
        <w:jc w:val="both"/>
        <w:rPr>
          <w:sz w:val="28"/>
          <w:szCs w:val="28"/>
        </w:rPr>
      </w:pPr>
      <w:r>
        <w:rPr>
          <w:sz w:val="28"/>
          <w:szCs w:val="28"/>
        </w:rPr>
        <w:t xml:space="preserve">7. </w:t>
      </w:r>
      <w:r w:rsidR="00710748">
        <w:rPr>
          <w:sz w:val="28"/>
          <w:szCs w:val="28"/>
        </w:rPr>
        <w:tab/>
      </w:r>
      <w:r>
        <w:rPr>
          <w:b/>
          <w:bCs/>
          <w:sz w:val="28"/>
          <w:szCs w:val="28"/>
        </w:rPr>
        <w:t xml:space="preserve">Нумерация страниц </w:t>
      </w:r>
      <w:r>
        <w:rPr>
          <w:sz w:val="28"/>
          <w:szCs w:val="28"/>
        </w:rPr>
        <w:t>обязательна.</w:t>
      </w:r>
      <w:r w:rsidR="0080376B">
        <w:rPr>
          <w:sz w:val="28"/>
          <w:szCs w:val="28"/>
        </w:rPr>
        <w:t xml:space="preserve"> Посередине внизу страницы, кег</w:t>
      </w:r>
      <w:r>
        <w:rPr>
          <w:sz w:val="28"/>
          <w:szCs w:val="28"/>
        </w:rPr>
        <w:t xml:space="preserve">ль 11 пт. </w:t>
      </w:r>
    </w:p>
    <w:p w:rsidR="00635EEF" w:rsidRDefault="00635EEF" w:rsidP="005B4FDE">
      <w:pPr>
        <w:pStyle w:val="Default"/>
        <w:tabs>
          <w:tab w:val="left" w:pos="993"/>
        </w:tabs>
        <w:ind w:firstLine="709"/>
        <w:jc w:val="both"/>
        <w:rPr>
          <w:sz w:val="28"/>
          <w:szCs w:val="28"/>
        </w:rPr>
      </w:pPr>
      <w:r>
        <w:rPr>
          <w:sz w:val="28"/>
          <w:szCs w:val="28"/>
        </w:rPr>
        <w:t xml:space="preserve">8. </w:t>
      </w:r>
      <w:r w:rsidR="00710748">
        <w:rPr>
          <w:sz w:val="28"/>
          <w:szCs w:val="28"/>
        </w:rPr>
        <w:tab/>
      </w:r>
      <w:r>
        <w:rPr>
          <w:b/>
          <w:bCs/>
          <w:sz w:val="28"/>
          <w:szCs w:val="28"/>
        </w:rPr>
        <w:t xml:space="preserve">Список литературы </w:t>
      </w:r>
      <w:r>
        <w:rPr>
          <w:sz w:val="28"/>
          <w:szCs w:val="28"/>
        </w:rPr>
        <w:t xml:space="preserve">любого источника осуществляется на языке его издания, помещается в конце </w:t>
      </w:r>
      <w:r w:rsidR="0080376B">
        <w:rPr>
          <w:sz w:val="28"/>
          <w:szCs w:val="28"/>
        </w:rPr>
        <w:t>тезисов доклада</w:t>
      </w:r>
      <w:r>
        <w:rPr>
          <w:sz w:val="28"/>
          <w:szCs w:val="28"/>
        </w:rPr>
        <w:t xml:space="preserve"> в порядке упоминания в тексте. В списке приводятся только источники, на которые автор ссылается в тексте. Ссылки на неопубликованные работы не допускаются. </w:t>
      </w:r>
    </w:p>
    <w:p w:rsidR="00635EEF" w:rsidRDefault="00635EEF" w:rsidP="00F31429">
      <w:pPr>
        <w:pStyle w:val="Default"/>
        <w:tabs>
          <w:tab w:val="left" w:pos="1418"/>
        </w:tabs>
        <w:spacing w:after="36"/>
        <w:ind w:firstLine="709"/>
        <w:jc w:val="both"/>
        <w:rPr>
          <w:color w:val="auto"/>
          <w:sz w:val="28"/>
          <w:szCs w:val="28"/>
        </w:rPr>
      </w:pPr>
      <w:r>
        <w:rPr>
          <w:color w:val="auto"/>
          <w:sz w:val="28"/>
          <w:szCs w:val="28"/>
        </w:rPr>
        <w:t xml:space="preserve">Внутри текста ссылки на список приводятся в квадратных скобках. Список литературы оформляется в соответствии с </w:t>
      </w:r>
      <w:r w:rsidR="00B750D6" w:rsidRPr="00B750D6">
        <w:rPr>
          <w:color w:val="auto"/>
          <w:sz w:val="28"/>
          <w:szCs w:val="28"/>
        </w:rPr>
        <w:t>ГОСТ Р 7.0.100-2018</w:t>
      </w:r>
      <w:r w:rsidR="00B750D6">
        <w:rPr>
          <w:color w:val="auto"/>
          <w:sz w:val="28"/>
          <w:szCs w:val="28"/>
        </w:rPr>
        <w:t xml:space="preserve"> </w:t>
      </w:r>
      <w:r>
        <w:rPr>
          <w:color w:val="auto"/>
          <w:sz w:val="28"/>
          <w:szCs w:val="28"/>
        </w:rPr>
        <w:t>ГОСТ</w:t>
      </w:r>
      <w:r w:rsidR="00710748">
        <w:rPr>
          <w:color w:val="auto"/>
          <w:sz w:val="28"/>
          <w:szCs w:val="28"/>
        </w:rPr>
        <w:t xml:space="preserve"> </w:t>
      </w:r>
      <w:r w:rsidR="00710748" w:rsidRPr="00FD6CF9">
        <w:rPr>
          <w:color w:val="auto"/>
          <w:sz w:val="28"/>
          <w:szCs w:val="28"/>
        </w:rPr>
        <w:t>7.0.5-2008</w:t>
      </w:r>
      <w:r w:rsidR="00710748">
        <w:rPr>
          <w:color w:val="auto"/>
          <w:sz w:val="28"/>
          <w:szCs w:val="28"/>
        </w:rPr>
        <w:t xml:space="preserve"> </w:t>
      </w:r>
      <w:r w:rsidR="00710748">
        <w:rPr>
          <w:rFonts w:ascii="Helvetica" w:hAnsi="Helvetica"/>
          <w:color w:val="1A1A1A"/>
          <w:sz w:val="23"/>
          <w:szCs w:val="23"/>
          <w:shd w:val="clear" w:color="auto" w:fill="FFFFFF"/>
        </w:rPr>
        <w:t>(</w:t>
      </w:r>
      <w:r w:rsidR="00710748" w:rsidRPr="00710748">
        <w:rPr>
          <w:color w:val="auto"/>
          <w:sz w:val="28"/>
          <w:szCs w:val="28"/>
        </w:rPr>
        <w:t>не</w:t>
      </w:r>
      <w:r w:rsidR="00FD6CF9">
        <w:rPr>
          <w:color w:val="auto"/>
          <w:sz w:val="28"/>
          <w:szCs w:val="28"/>
        </w:rPr>
        <w:t> </w:t>
      </w:r>
      <w:r w:rsidR="00710748" w:rsidRPr="00710748">
        <w:rPr>
          <w:color w:val="auto"/>
          <w:sz w:val="28"/>
          <w:szCs w:val="28"/>
        </w:rPr>
        <w:t>более 5 источников</w:t>
      </w:r>
      <w:r w:rsidR="00710748">
        <w:rPr>
          <w:rFonts w:ascii="Helvetica" w:hAnsi="Helvetica"/>
          <w:color w:val="1A1A1A"/>
          <w:sz w:val="23"/>
          <w:szCs w:val="23"/>
          <w:shd w:val="clear" w:color="auto" w:fill="FFFFFF"/>
        </w:rPr>
        <w:t>)</w:t>
      </w:r>
      <w:r w:rsidR="00DB781D">
        <w:rPr>
          <w:color w:val="auto"/>
          <w:sz w:val="28"/>
          <w:szCs w:val="28"/>
        </w:rPr>
        <w:t>, кег</w:t>
      </w:r>
      <w:r>
        <w:rPr>
          <w:color w:val="auto"/>
          <w:sz w:val="28"/>
          <w:szCs w:val="28"/>
        </w:rPr>
        <w:t xml:space="preserve">ль 11 </w:t>
      </w:r>
      <w:proofErr w:type="spellStart"/>
      <w:r>
        <w:rPr>
          <w:color w:val="auto"/>
          <w:sz w:val="28"/>
          <w:szCs w:val="28"/>
        </w:rPr>
        <w:t>пт</w:t>
      </w:r>
      <w:proofErr w:type="spellEnd"/>
      <w:r>
        <w:rPr>
          <w:color w:val="auto"/>
          <w:sz w:val="28"/>
          <w:szCs w:val="28"/>
        </w:rPr>
        <w:t xml:space="preserve">, </w:t>
      </w:r>
      <w:r>
        <w:rPr>
          <w:i/>
          <w:iCs/>
          <w:color w:val="auto"/>
          <w:sz w:val="28"/>
          <w:szCs w:val="28"/>
        </w:rPr>
        <w:t>курсив</w:t>
      </w:r>
      <w:r>
        <w:rPr>
          <w:color w:val="auto"/>
          <w:sz w:val="28"/>
          <w:szCs w:val="28"/>
        </w:rPr>
        <w:t xml:space="preserve">. </w:t>
      </w:r>
    </w:p>
    <w:p w:rsidR="00635EEF" w:rsidRDefault="00710748" w:rsidP="00237729">
      <w:pPr>
        <w:pStyle w:val="Default"/>
        <w:tabs>
          <w:tab w:val="left" w:pos="993"/>
        </w:tabs>
        <w:spacing w:after="36"/>
        <w:ind w:firstLine="709"/>
        <w:jc w:val="both"/>
        <w:rPr>
          <w:color w:val="auto"/>
          <w:sz w:val="28"/>
          <w:szCs w:val="28"/>
        </w:rPr>
      </w:pPr>
      <w:r>
        <w:rPr>
          <w:color w:val="auto"/>
          <w:sz w:val="28"/>
          <w:szCs w:val="28"/>
        </w:rPr>
        <w:lastRenderedPageBreak/>
        <w:t>9.</w:t>
      </w:r>
      <w:r>
        <w:rPr>
          <w:color w:val="auto"/>
          <w:sz w:val="28"/>
          <w:szCs w:val="28"/>
        </w:rPr>
        <w:tab/>
      </w:r>
      <w:r w:rsidR="00635EEF">
        <w:rPr>
          <w:b/>
          <w:bCs/>
          <w:color w:val="auto"/>
          <w:sz w:val="28"/>
          <w:szCs w:val="28"/>
        </w:rPr>
        <w:t xml:space="preserve">Переносы </w:t>
      </w:r>
      <w:r w:rsidR="00635EEF">
        <w:rPr>
          <w:color w:val="auto"/>
          <w:sz w:val="28"/>
          <w:szCs w:val="28"/>
        </w:rPr>
        <w:t xml:space="preserve">и принудительные (ручные) не ставить. </w:t>
      </w:r>
    </w:p>
    <w:p w:rsidR="00635EEF" w:rsidRDefault="00237729" w:rsidP="00237729">
      <w:pPr>
        <w:pStyle w:val="Default"/>
        <w:tabs>
          <w:tab w:val="left" w:pos="851"/>
          <w:tab w:val="left" w:pos="993"/>
        </w:tabs>
        <w:ind w:firstLine="709"/>
        <w:jc w:val="both"/>
        <w:rPr>
          <w:color w:val="auto"/>
          <w:sz w:val="28"/>
          <w:szCs w:val="28"/>
        </w:rPr>
      </w:pPr>
      <w:r>
        <w:rPr>
          <w:color w:val="auto"/>
          <w:sz w:val="28"/>
          <w:szCs w:val="28"/>
        </w:rPr>
        <w:t xml:space="preserve">10. </w:t>
      </w:r>
      <w:bookmarkStart w:id="0" w:name="_GoBack"/>
      <w:bookmarkEnd w:id="0"/>
      <w:r w:rsidR="00635EEF">
        <w:rPr>
          <w:b/>
          <w:bCs/>
          <w:color w:val="auto"/>
          <w:sz w:val="28"/>
          <w:szCs w:val="28"/>
        </w:rPr>
        <w:t xml:space="preserve">Рисунки, графики, схемы </w:t>
      </w:r>
      <w:r w:rsidR="00635EEF">
        <w:rPr>
          <w:color w:val="auto"/>
          <w:sz w:val="28"/>
          <w:szCs w:val="28"/>
        </w:rPr>
        <w:t>должны выполняться в графических редакторах, поддерживающих векторную графику. Каждое изображение прикрепляется отдельным файлом (формат .</w:t>
      </w:r>
      <w:proofErr w:type="spellStart"/>
      <w:r w:rsidR="00635EEF">
        <w:rPr>
          <w:color w:val="auto"/>
          <w:sz w:val="28"/>
          <w:szCs w:val="28"/>
        </w:rPr>
        <w:t>jpg</w:t>
      </w:r>
      <w:proofErr w:type="spellEnd"/>
      <w:r w:rsidR="00635EEF">
        <w:rPr>
          <w:color w:val="auto"/>
          <w:sz w:val="28"/>
          <w:szCs w:val="28"/>
        </w:rPr>
        <w:t xml:space="preserve">). Каждое изображение нумеруется арабскими цифрами: «Рис. 1», «Рис. 2». В том месте текста, где следует расположить изображение, указывается номер рисунка с подрисуночной подписью. </w:t>
      </w:r>
    </w:p>
    <w:p w:rsidR="00635EEF" w:rsidRDefault="00635EEF" w:rsidP="00710748">
      <w:pPr>
        <w:pStyle w:val="Default"/>
        <w:tabs>
          <w:tab w:val="left" w:pos="1134"/>
        </w:tabs>
        <w:ind w:firstLine="709"/>
        <w:rPr>
          <w:color w:val="auto"/>
          <w:sz w:val="28"/>
          <w:szCs w:val="28"/>
        </w:rPr>
      </w:pPr>
    </w:p>
    <w:p w:rsidR="00635EEF" w:rsidRDefault="00635EEF" w:rsidP="007B135A">
      <w:pPr>
        <w:pStyle w:val="Default"/>
        <w:jc w:val="center"/>
        <w:rPr>
          <w:color w:val="auto"/>
          <w:sz w:val="28"/>
          <w:szCs w:val="28"/>
        </w:rPr>
      </w:pPr>
      <w:r>
        <w:rPr>
          <w:b/>
          <w:bCs/>
          <w:color w:val="auto"/>
          <w:sz w:val="28"/>
          <w:szCs w:val="28"/>
        </w:rPr>
        <w:t xml:space="preserve">Названия отдельных файлов </w:t>
      </w:r>
      <w:r>
        <w:rPr>
          <w:color w:val="auto"/>
          <w:sz w:val="28"/>
          <w:szCs w:val="28"/>
        </w:rPr>
        <w:t xml:space="preserve">формируется из фамилии автора и номера изображения, </w:t>
      </w:r>
      <w:proofErr w:type="gramStart"/>
      <w:r w:rsidR="00FD6CF9">
        <w:rPr>
          <w:color w:val="auto"/>
          <w:sz w:val="28"/>
          <w:szCs w:val="28"/>
        </w:rPr>
        <w:t>например</w:t>
      </w:r>
      <w:proofErr w:type="gramEnd"/>
      <w:r>
        <w:rPr>
          <w:color w:val="auto"/>
          <w:sz w:val="28"/>
          <w:szCs w:val="28"/>
        </w:rPr>
        <w:t>: «Иванова. Рис. 1».</w:t>
      </w:r>
    </w:p>
    <w:p w:rsidR="00710748" w:rsidRDefault="00710748" w:rsidP="007B135A">
      <w:pPr>
        <w:pStyle w:val="Default"/>
        <w:jc w:val="center"/>
        <w:rPr>
          <w:color w:val="auto"/>
          <w:sz w:val="28"/>
          <w:szCs w:val="28"/>
        </w:rPr>
      </w:pPr>
    </w:p>
    <w:p w:rsidR="00635EEF" w:rsidRDefault="00635EEF" w:rsidP="007B135A">
      <w:pPr>
        <w:pStyle w:val="Default"/>
        <w:jc w:val="center"/>
        <w:rPr>
          <w:b/>
          <w:bCs/>
          <w:color w:val="auto"/>
          <w:sz w:val="28"/>
          <w:szCs w:val="28"/>
        </w:rPr>
      </w:pPr>
      <w:r>
        <w:rPr>
          <w:b/>
          <w:bCs/>
          <w:color w:val="auto"/>
          <w:sz w:val="28"/>
          <w:szCs w:val="28"/>
        </w:rPr>
        <w:t>Пример</w:t>
      </w:r>
      <w:r w:rsidR="00710748" w:rsidRPr="00710748">
        <w:t xml:space="preserve"> </w:t>
      </w:r>
      <w:r w:rsidR="00710748" w:rsidRPr="00710748">
        <w:rPr>
          <w:b/>
          <w:bCs/>
          <w:color w:val="auto"/>
          <w:sz w:val="28"/>
          <w:szCs w:val="28"/>
        </w:rPr>
        <w:t>оформления</w:t>
      </w:r>
      <w:r w:rsidR="00710748">
        <w:rPr>
          <w:b/>
          <w:bCs/>
          <w:color w:val="auto"/>
          <w:sz w:val="28"/>
          <w:szCs w:val="28"/>
        </w:rPr>
        <w:t xml:space="preserve"> тезисов</w:t>
      </w:r>
      <w:r>
        <w:rPr>
          <w:b/>
          <w:bCs/>
          <w:color w:val="auto"/>
          <w:sz w:val="28"/>
          <w:szCs w:val="28"/>
        </w:rPr>
        <w:t>:</w:t>
      </w:r>
    </w:p>
    <w:p w:rsidR="00710748" w:rsidRDefault="00710748" w:rsidP="007B135A">
      <w:pPr>
        <w:pStyle w:val="Default"/>
        <w:jc w:val="center"/>
        <w:rPr>
          <w:color w:val="auto"/>
          <w:sz w:val="28"/>
          <w:szCs w:val="28"/>
        </w:rPr>
      </w:pPr>
    </w:p>
    <w:p w:rsidR="00635EEF" w:rsidRDefault="00635EEF" w:rsidP="007B135A">
      <w:pPr>
        <w:pStyle w:val="Default"/>
        <w:jc w:val="center"/>
        <w:rPr>
          <w:b/>
          <w:bCs/>
          <w:color w:val="auto"/>
          <w:sz w:val="28"/>
          <w:szCs w:val="28"/>
        </w:rPr>
      </w:pPr>
      <w:r>
        <w:rPr>
          <w:b/>
          <w:bCs/>
          <w:color w:val="auto"/>
          <w:sz w:val="28"/>
          <w:szCs w:val="28"/>
        </w:rPr>
        <w:t>Обоснование оптимальных технических и организационных решений</w:t>
      </w:r>
    </w:p>
    <w:p w:rsidR="00635EEF" w:rsidRPr="00966A5B" w:rsidRDefault="00635EEF" w:rsidP="007B135A">
      <w:pPr>
        <w:pStyle w:val="Default"/>
        <w:jc w:val="center"/>
        <w:rPr>
          <w:i/>
          <w:iCs/>
          <w:color w:val="auto"/>
          <w:sz w:val="22"/>
          <w:szCs w:val="22"/>
        </w:rPr>
      </w:pPr>
      <w:r w:rsidRPr="00966A5B">
        <w:rPr>
          <w:b/>
          <w:bCs/>
          <w:i/>
          <w:iCs/>
          <w:color w:val="auto"/>
          <w:sz w:val="22"/>
          <w:szCs w:val="22"/>
        </w:rPr>
        <w:t>Бочкарев В.В.</w:t>
      </w:r>
      <w:r w:rsidRPr="00966A5B">
        <w:rPr>
          <w:i/>
          <w:iCs/>
          <w:color w:val="auto"/>
          <w:sz w:val="22"/>
          <w:szCs w:val="22"/>
          <w:vertAlign w:val="superscript"/>
        </w:rPr>
        <w:t>1,2</w:t>
      </w:r>
      <w:r w:rsidRPr="00966A5B">
        <w:rPr>
          <w:color w:val="auto"/>
          <w:sz w:val="22"/>
          <w:szCs w:val="22"/>
        </w:rPr>
        <w:t xml:space="preserve">, </w:t>
      </w:r>
      <w:r w:rsidRPr="00966A5B">
        <w:rPr>
          <w:b/>
          <w:bCs/>
          <w:i/>
          <w:iCs/>
          <w:color w:val="auto"/>
          <w:sz w:val="22"/>
          <w:szCs w:val="22"/>
        </w:rPr>
        <w:t xml:space="preserve">Бриллиантов Б.Д. </w:t>
      </w:r>
      <w:r w:rsidRPr="00966A5B">
        <w:rPr>
          <w:i/>
          <w:iCs/>
          <w:color w:val="auto"/>
          <w:sz w:val="22"/>
          <w:szCs w:val="22"/>
          <w:vertAlign w:val="superscript"/>
        </w:rPr>
        <w:t>1,2</w:t>
      </w:r>
      <w:r w:rsidRPr="00966A5B">
        <w:rPr>
          <w:color w:val="auto"/>
          <w:sz w:val="22"/>
          <w:szCs w:val="22"/>
        </w:rPr>
        <w:t xml:space="preserve">, </w:t>
      </w:r>
      <w:r w:rsidRPr="00966A5B">
        <w:rPr>
          <w:b/>
          <w:bCs/>
          <w:i/>
          <w:iCs/>
          <w:color w:val="auto"/>
          <w:sz w:val="22"/>
          <w:szCs w:val="22"/>
        </w:rPr>
        <w:t>Климанов С.Г.</w:t>
      </w:r>
      <w:r w:rsidRPr="00966A5B">
        <w:rPr>
          <w:i/>
          <w:iCs/>
          <w:color w:val="auto"/>
          <w:sz w:val="22"/>
          <w:szCs w:val="22"/>
          <w:vertAlign w:val="superscript"/>
        </w:rPr>
        <w:t>2</w:t>
      </w:r>
      <w:r w:rsidRPr="00966A5B">
        <w:rPr>
          <w:color w:val="auto"/>
          <w:sz w:val="22"/>
          <w:szCs w:val="22"/>
        </w:rPr>
        <w:t xml:space="preserve">, </w:t>
      </w:r>
      <w:r w:rsidRPr="00966A5B">
        <w:rPr>
          <w:b/>
          <w:bCs/>
          <w:i/>
          <w:iCs/>
          <w:color w:val="auto"/>
          <w:sz w:val="22"/>
          <w:szCs w:val="22"/>
        </w:rPr>
        <w:t>Крянев А.В.</w:t>
      </w:r>
      <w:r w:rsidRPr="00966A5B">
        <w:rPr>
          <w:i/>
          <w:iCs/>
          <w:color w:val="auto"/>
          <w:sz w:val="22"/>
          <w:szCs w:val="22"/>
          <w:vertAlign w:val="superscript"/>
        </w:rPr>
        <w:t>2</w:t>
      </w:r>
    </w:p>
    <w:p w:rsidR="00966A5B" w:rsidRPr="00966A5B" w:rsidRDefault="00966A5B" w:rsidP="007B135A">
      <w:pPr>
        <w:pStyle w:val="Default"/>
        <w:jc w:val="center"/>
        <w:rPr>
          <w:color w:val="auto"/>
          <w:sz w:val="22"/>
          <w:szCs w:val="22"/>
        </w:rPr>
      </w:pPr>
    </w:p>
    <w:p w:rsidR="00635EEF" w:rsidRDefault="00635EEF" w:rsidP="007B135A">
      <w:pPr>
        <w:pStyle w:val="Default"/>
        <w:jc w:val="center"/>
        <w:rPr>
          <w:color w:val="auto"/>
          <w:sz w:val="22"/>
          <w:szCs w:val="22"/>
        </w:rPr>
      </w:pPr>
      <w:r w:rsidRPr="00966A5B">
        <w:rPr>
          <w:i/>
          <w:iCs/>
          <w:color w:val="auto"/>
          <w:sz w:val="22"/>
          <w:szCs w:val="22"/>
          <w:vertAlign w:val="superscript"/>
        </w:rPr>
        <w:t>1</w:t>
      </w:r>
      <w:r>
        <w:rPr>
          <w:i/>
          <w:iCs/>
          <w:color w:val="auto"/>
          <w:sz w:val="14"/>
          <w:szCs w:val="14"/>
        </w:rPr>
        <w:t xml:space="preserve"> </w:t>
      </w:r>
      <w:r>
        <w:rPr>
          <w:i/>
          <w:iCs/>
          <w:color w:val="auto"/>
          <w:sz w:val="22"/>
          <w:szCs w:val="22"/>
        </w:rPr>
        <w:t>Научно-технический центр по ядерной и радиационной безопасности (НТЦ ЯРБ),</w:t>
      </w:r>
    </w:p>
    <w:p w:rsidR="00635EEF" w:rsidRDefault="00635EEF" w:rsidP="007B135A">
      <w:pPr>
        <w:pStyle w:val="Default"/>
        <w:jc w:val="center"/>
        <w:rPr>
          <w:color w:val="auto"/>
          <w:sz w:val="22"/>
          <w:szCs w:val="22"/>
        </w:rPr>
      </w:pPr>
      <w:r>
        <w:rPr>
          <w:i/>
          <w:iCs/>
          <w:color w:val="auto"/>
          <w:sz w:val="22"/>
          <w:szCs w:val="22"/>
        </w:rPr>
        <w:t>г. Москва, Россия</w:t>
      </w:r>
    </w:p>
    <w:p w:rsidR="00635EEF" w:rsidRDefault="00635EEF" w:rsidP="007B135A">
      <w:pPr>
        <w:pStyle w:val="Default"/>
        <w:jc w:val="center"/>
        <w:rPr>
          <w:color w:val="auto"/>
          <w:sz w:val="22"/>
          <w:szCs w:val="22"/>
        </w:rPr>
      </w:pPr>
      <w:r>
        <w:rPr>
          <w:i/>
          <w:iCs/>
          <w:color w:val="auto"/>
          <w:sz w:val="22"/>
          <w:szCs w:val="22"/>
        </w:rPr>
        <w:t>e-</w:t>
      </w:r>
      <w:proofErr w:type="spellStart"/>
      <w:r>
        <w:rPr>
          <w:i/>
          <w:iCs/>
          <w:color w:val="auto"/>
          <w:sz w:val="22"/>
          <w:szCs w:val="22"/>
        </w:rPr>
        <w:t>mail</w:t>
      </w:r>
      <w:proofErr w:type="spellEnd"/>
      <w:r>
        <w:rPr>
          <w:i/>
          <w:iCs/>
          <w:color w:val="auto"/>
          <w:sz w:val="22"/>
          <w:szCs w:val="22"/>
        </w:rPr>
        <w:t>: secnrs@secnrs.ru</w:t>
      </w:r>
    </w:p>
    <w:p w:rsidR="00635EEF" w:rsidRDefault="00635EEF" w:rsidP="007B135A">
      <w:pPr>
        <w:pStyle w:val="Default"/>
        <w:jc w:val="center"/>
        <w:rPr>
          <w:color w:val="auto"/>
          <w:sz w:val="22"/>
          <w:szCs w:val="22"/>
        </w:rPr>
      </w:pPr>
      <w:r w:rsidRPr="00966A5B">
        <w:rPr>
          <w:i/>
          <w:iCs/>
          <w:color w:val="auto"/>
          <w:sz w:val="22"/>
          <w:szCs w:val="22"/>
          <w:vertAlign w:val="superscript"/>
        </w:rPr>
        <w:t>2</w:t>
      </w:r>
      <w:r>
        <w:rPr>
          <w:i/>
          <w:iCs/>
          <w:color w:val="auto"/>
          <w:sz w:val="22"/>
          <w:szCs w:val="22"/>
        </w:rPr>
        <w:t>Национальный исследовательский ядерный университет (МИФИ), г. Москва, Россия</w:t>
      </w:r>
    </w:p>
    <w:p w:rsidR="00635EEF" w:rsidRPr="00B750D6" w:rsidRDefault="00635EEF" w:rsidP="007B135A">
      <w:pPr>
        <w:pStyle w:val="Default"/>
        <w:jc w:val="center"/>
        <w:rPr>
          <w:i/>
          <w:iCs/>
          <w:color w:val="auto"/>
          <w:sz w:val="22"/>
          <w:szCs w:val="22"/>
        </w:rPr>
      </w:pPr>
      <w:proofErr w:type="gramStart"/>
      <w:r w:rsidRPr="00966A5B">
        <w:rPr>
          <w:i/>
          <w:iCs/>
          <w:color w:val="auto"/>
          <w:sz w:val="22"/>
          <w:szCs w:val="22"/>
          <w:lang w:val="en-US"/>
        </w:rPr>
        <w:t>e</w:t>
      </w:r>
      <w:r w:rsidRPr="00B750D6">
        <w:rPr>
          <w:i/>
          <w:iCs/>
          <w:color w:val="auto"/>
          <w:sz w:val="22"/>
          <w:szCs w:val="22"/>
        </w:rPr>
        <w:t>-</w:t>
      </w:r>
      <w:r w:rsidRPr="00966A5B">
        <w:rPr>
          <w:i/>
          <w:iCs/>
          <w:color w:val="auto"/>
          <w:sz w:val="22"/>
          <w:szCs w:val="22"/>
          <w:lang w:val="en-US"/>
        </w:rPr>
        <w:t>mail</w:t>
      </w:r>
      <w:proofErr w:type="gramEnd"/>
      <w:r w:rsidRPr="00B750D6">
        <w:rPr>
          <w:i/>
          <w:iCs/>
          <w:color w:val="auto"/>
          <w:sz w:val="22"/>
          <w:szCs w:val="22"/>
        </w:rPr>
        <w:t xml:space="preserve">: </w:t>
      </w:r>
      <w:r w:rsidRPr="00966A5B">
        <w:rPr>
          <w:i/>
          <w:iCs/>
          <w:color w:val="auto"/>
          <w:sz w:val="22"/>
          <w:szCs w:val="22"/>
          <w:lang w:val="en-US"/>
        </w:rPr>
        <w:t>info</w:t>
      </w:r>
      <w:r w:rsidRPr="00B750D6">
        <w:rPr>
          <w:i/>
          <w:iCs/>
          <w:color w:val="auto"/>
          <w:sz w:val="22"/>
          <w:szCs w:val="22"/>
        </w:rPr>
        <w:t>@</w:t>
      </w:r>
      <w:proofErr w:type="spellStart"/>
      <w:r w:rsidRPr="00966A5B">
        <w:rPr>
          <w:i/>
          <w:iCs/>
          <w:color w:val="auto"/>
          <w:sz w:val="22"/>
          <w:szCs w:val="22"/>
          <w:lang w:val="en-US"/>
        </w:rPr>
        <w:t>mephi</w:t>
      </w:r>
      <w:proofErr w:type="spellEnd"/>
      <w:r w:rsidRPr="00B750D6">
        <w:rPr>
          <w:i/>
          <w:iCs/>
          <w:color w:val="auto"/>
          <w:sz w:val="22"/>
          <w:szCs w:val="22"/>
        </w:rPr>
        <w:t>.</w:t>
      </w:r>
      <w:proofErr w:type="spellStart"/>
      <w:r w:rsidRPr="00966A5B">
        <w:rPr>
          <w:i/>
          <w:iCs/>
          <w:color w:val="auto"/>
          <w:sz w:val="22"/>
          <w:szCs w:val="22"/>
          <w:lang w:val="en-US"/>
        </w:rPr>
        <w:t>ru</w:t>
      </w:r>
      <w:proofErr w:type="spellEnd"/>
    </w:p>
    <w:p w:rsidR="00966A5B" w:rsidRPr="00B750D6" w:rsidRDefault="00966A5B" w:rsidP="007B135A">
      <w:pPr>
        <w:pStyle w:val="Default"/>
        <w:jc w:val="center"/>
        <w:rPr>
          <w:color w:val="auto"/>
          <w:sz w:val="22"/>
          <w:szCs w:val="22"/>
        </w:rPr>
      </w:pPr>
    </w:p>
    <w:p w:rsidR="00635EEF" w:rsidRDefault="00635EEF" w:rsidP="00966A5B">
      <w:pPr>
        <w:pStyle w:val="Default"/>
        <w:tabs>
          <w:tab w:val="left" w:pos="1276"/>
        </w:tabs>
        <w:ind w:left="1276" w:hanging="1276"/>
        <w:jc w:val="both"/>
        <w:rPr>
          <w:color w:val="auto"/>
          <w:sz w:val="22"/>
          <w:szCs w:val="22"/>
        </w:rPr>
      </w:pPr>
      <w:r>
        <w:rPr>
          <w:b/>
          <w:bCs/>
          <w:color w:val="auto"/>
          <w:sz w:val="22"/>
          <w:szCs w:val="22"/>
        </w:rPr>
        <w:t>Аннотация</w:t>
      </w:r>
      <w:r>
        <w:rPr>
          <w:color w:val="auto"/>
          <w:sz w:val="22"/>
          <w:szCs w:val="22"/>
        </w:rPr>
        <w:t xml:space="preserve">: </w:t>
      </w:r>
      <w:r w:rsidR="00966A5B">
        <w:rPr>
          <w:color w:val="auto"/>
          <w:sz w:val="22"/>
          <w:szCs w:val="22"/>
        </w:rPr>
        <w:tab/>
      </w:r>
      <w:proofErr w:type="gramStart"/>
      <w:r>
        <w:rPr>
          <w:i/>
          <w:iCs/>
          <w:color w:val="auto"/>
          <w:sz w:val="22"/>
          <w:szCs w:val="22"/>
        </w:rPr>
        <w:t>В</w:t>
      </w:r>
      <w:proofErr w:type="gramEnd"/>
      <w:r>
        <w:rPr>
          <w:i/>
          <w:iCs/>
          <w:color w:val="auto"/>
          <w:sz w:val="22"/>
          <w:szCs w:val="22"/>
        </w:rPr>
        <w:t xml:space="preserve"> докладе приведена схема и алгоритм выбора оптимальных технологических операций при ВЭ ОИАЭ, а также определение степени устойчивости выбранного варианта технологических операций в условиях неопределённости исходных.</w:t>
      </w:r>
    </w:p>
    <w:p w:rsidR="00635EEF" w:rsidRDefault="00635EEF" w:rsidP="00966A5B">
      <w:pPr>
        <w:pStyle w:val="Default"/>
        <w:ind w:left="1276" w:hanging="1276"/>
        <w:jc w:val="both"/>
        <w:rPr>
          <w:color w:val="auto"/>
          <w:sz w:val="22"/>
          <w:szCs w:val="22"/>
        </w:rPr>
      </w:pPr>
      <w:r>
        <w:rPr>
          <w:b/>
          <w:bCs/>
          <w:color w:val="auto"/>
          <w:sz w:val="22"/>
          <w:szCs w:val="22"/>
        </w:rPr>
        <w:t>Ключевые слова</w:t>
      </w:r>
      <w:r>
        <w:rPr>
          <w:color w:val="auto"/>
          <w:sz w:val="22"/>
          <w:szCs w:val="22"/>
        </w:rPr>
        <w:t>: объект использования атомной энергии (ОИАЭ), вывод из эксплуатации (ВЭ), технологические операции, оптимальный вариант, частные показатели, комплексный показатель, погрешности, среднеквадратическое отклонение (СКО), метод Монте-Карло, устойчивость выбранного варианта.</w:t>
      </w:r>
    </w:p>
    <w:p w:rsidR="00F31429" w:rsidRDefault="00F31429" w:rsidP="00966A5B">
      <w:pPr>
        <w:pStyle w:val="Default"/>
        <w:ind w:left="1276" w:hanging="1276"/>
        <w:jc w:val="both"/>
        <w:rPr>
          <w:color w:val="auto"/>
          <w:sz w:val="22"/>
          <w:szCs w:val="22"/>
        </w:rPr>
      </w:pPr>
    </w:p>
    <w:p w:rsidR="00635EEF" w:rsidRPr="00635EEF" w:rsidRDefault="00635EEF" w:rsidP="007B135A">
      <w:pPr>
        <w:pStyle w:val="Default"/>
        <w:jc w:val="center"/>
        <w:rPr>
          <w:color w:val="auto"/>
          <w:sz w:val="28"/>
          <w:szCs w:val="28"/>
          <w:lang w:val="en-US"/>
        </w:rPr>
      </w:pPr>
      <w:r w:rsidRPr="00635EEF">
        <w:rPr>
          <w:b/>
          <w:bCs/>
          <w:color w:val="auto"/>
          <w:sz w:val="28"/>
          <w:szCs w:val="28"/>
          <w:lang w:val="en-US"/>
        </w:rPr>
        <w:t>Substantiation of optimal technical and organizational solutions</w:t>
      </w:r>
    </w:p>
    <w:p w:rsidR="00635EEF" w:rsidRPr="00966A5B" w:rsidRDefault="00635EEF" w:rsidP="007B135A">
      <w:pPr>
        <w:pStyle w:val="Default"/>
        <w:jc w:val="center"/>
        <w:rPr>
          <w:b/>
          <w:bCs/>
          <w:i/>
          <w:iCs/>
          <w:color w:val="auto"/>
          <w:sz w:val="22"/>
          <w:szCs w:val="22"/>
          <w:lang w:val="en-US"/>
        </w:rPr>
      </w:pPr>
      <w:proofErr w:type="spellStart"/>
      <w:r w:rsidRPr="00635EEF">
        <w:rPr>
          <w:b/>
          <w:bCs/>
          <w:i/>
          <w:iCs/>
          <w:color w:val="auto"/>
          <w:sz w:val="22"/>
          <w:szCs w:val="22"/>
          <w:lang w:val="en-US"/>
        </w:rPr>
        <w:t>Bochkarev</w:t>
      </w:r>
      <w:proofErr w:type="spellEnd"/>
      <w:r w:rsidRPr="00635EEF">
        <w:rPr>
          <w:b/>
          <w:bCs/>
          <w:i/>
          <w:iCs/>
          <w:color w:val="auto"/>
          <w:sz w:val="22"/>
          <w:szCs w:val="22"/>
          <w:lang w:val="en-US"/>
        </w:rPr>
        <w:t xml:space="preserve"> V.V. </w:t>
      </w:r>
      <w:r w:rsidRPr="00966A5B">
        <w:rPr>
          <w:b/>
          <w:bCs/>
          <w:i/>
          <w:iCs/>
          <w:color w:val="auto"/>
          <w:sz w:val="22"/>
          <w:szCs w:val="22"/>
          <w:vertAlign w:val="superscript"/>
          <w:lang w:val="en-US"/>
        </w:rPr>
        <w:t>1</w:t>
      </w:r>
      <w:proofErr w:type="gramStart"/>
      <w:r w:rsidRPr="00966A5B">
        <w:rPr>
          <w:b/>
          <w:bCs/>
          <w:i/>
          <w:iCs/>
          <w:color w:val="auto"/>
          <w:sz w:val="22"/>
          <w:szCs w:val="22"/>
          <w:vertAlign w:val="superscript"/>
          <w:lang w:val="en-US"/>
        </w:rPr>
        <w:t>,2</w:t>
      </w:r>
      <w:proofErr w:type="gramEnd"/>
      <w:r w:rsidRPr="00635EEF">
        <w:rPr>
          <w:b/>
          <w:bCs/>
          <w:i/>
          <w:iCs/>
          <w:color w:val="auto"/>
          <w:sz w:val="22"/>
          <w:szCs w:val="22"/>
          <w:lang w:val="en-US"/>
        </w:rPr>
        <w:t xml:space="preserve">, </w:t>
      </w:r>
      <w:proofErr w:type="spellStart"/>
      <w:r w:rsidRPr="00635EEF">
        <w:rPr>
          <w:b/>
          <w:bCs/>
          <w:i/>
          <w:iCs/>
          <w:color w:val="auto"/>
          <w:sz w:val="22"/>
          <w:szCs w:val="22"/>
          <w:lang w:val="en-US"/>
        </w:rPr>
        <w:t>Brilliantov</w:t>
      </w:r>
      <w:proofErr w:type="spellEnd"/>
      <w:r w:rsidRPr="00635EEF">
        <w:rPr>
          <w:b/>
          <w:bCs/>
          <w:i/>
          <w:iCs/>
          <w:color w:val="auto"/>
          <w:sz w:val="22"/>
          <w:szCs w:val="22"/>
          <w:lang w:val="en-US"/>
        </w:rPr>
        <w:t xml:space="preserve"> B.D. </w:t>
      </w:r>
      <w:r w:rsidRPr="00966A5B">
        <w:rPr>
          <w:b/>
          <w:bCs/>
          <w:i/>
          <w:iCs/>
          <w:color w:val="auto"/>
          <w:sz w:val="22"/>
          <w:szCs w:val="22"/>
          <w:vertAlign w:val="superscript"/>
          <w:lang w:val="en-US"/>
        </w:rPr>
        <w:t>1,2</w:t>
      </w:r>
      <w:r w:rsidRPr="00635EEF">
        <w:rPr>
          <w:b/>
          <w:bCs/>
          <w:i/>
          <w:iCs/>
          <w:color w:val="auto"/>
          <w:sz w:val="22"/>
          <w:szCs w:val="22"/>
          <w:lang w:val="en-US"/>
        </w:rPr>
        <w:t xml:space="preserve">, </w:t>
      </w:r>
      <w:proofErr w:type="spellStart"/>
      <w:r w:rsidRPr="00635EEF">
        <w:rPr>
          <w:b/>
          <w:bCs/>
          <w:i/>
          <w:iCs/>
          <w:color w:val="auto"/>
          <w:sz w:val="22"/>
          <w:szCs w:val="22"/>
          <w:lang w:val="en-US"/>
        </w:rPr>
        <w:t>Klimanov</w:t>
      </w:r>
      <w:proofErr w:type="spellEnd"/>
      <w:r w:rsidRPr="00635EEF">
        <w:rPr>
          <w:b/>
          <w:bCs/>
          <w:i/>
          <w:iCs/>
          <w:color w:val="auto"/>
          <w:sz w:val="22"/>
          <w:szCs w:val="22"/>
          <w:lang w:val="en-US"/>
        </w:rPr>
        <w:t xml:space="preserve"> S.G. </w:t>
      </w:r>
      <w:r w:rsidRPr="00966A5B">
        <w:rPr>
          <w:b/>
          <w:bCs/>
          <w:i/>
          <w:iCs/>
          <w:color w:val="auto"/>
          <w:sz w:val="22"/>
          <w:szCs w:val="22"/>
          <w:vertAlign w:val="superscript"/>
          <w:lang w:val="en-US"/>
        </w:rPr>
        <w:t>2</w:t>
      </w:r>
      <w:r w:rsidRPr="00635EEF">
        <w:rPr>
          <w:b/>
          <w:bCs/>
          <w:i/>
          <w:iCs/>
          <w:color w:val="auto"/>
          <w:sz w:val="22"/>
          <w:szCs w:val="22"/>
          <w:lang w:val="en-US"/>
        </w:rPr>
        <w:t xml:space="preserve">, </w:t>
      </w:r>
      <w:proofErr w:type="spellStart"/>
      <w:r w:rsidRPr="00635EEF">
        <w:rPr>
          <w:b/>
          <w:bCs/>
          <w:i/>
          <w:iCs/>
          <w:color w:val="auto"/>
          <w:sz w:val="22"/>
          <w:szCs w:val="22"/>
          <w:lang w:val="en-US"/>
        </w:rPr>
        <w:t>Kryanev</w:t>
      </w:r>
      <w:proofErr w:type="spellEnd"/>
      <w:r w:rsidRPr="00635EEF">
        <w:rPr>
          <w:b/>
          <w:bCs/>
          <w:i/>
          <w:iCs/>
          <w:color w:val="auto"/>
          <w:sz w:val="22"/>
          <w:szCs w:val="22"/>
          <w:lang w:val="en-US"/>
        </w:rPr>
        <w:t xml:space="preserve"> A.V. </w:t>
      </w:r>
      <w:r w:rsidRPr="00966A5B">
        <w:rPr>
          <w:b/>
          <w:bCs/>
          <w:i/>
          <w:iCs/>
          <w:color w:val="auto"/>
          <w:sz w:val="22"/>
          <w:szCs w:val="22"/>
          <w:vertAlign w:val="superscript"/>
          <w:lang w:val="en-US"/>
        </w:rPr>
        <w:t>2</w:t>
      </w:r>
    </w:p>
    <w:p w:rsidR="007B135A" w:rsidRPr="00966A5B" w:rsidRDefault="007B135A" w:rsidP="007B135A">
      <w:pPr>
        <w:pStyle w:val="Default"/>
        <w:jc w:val="center"/>
        <w:rPr>
          <w:b/>
          <w:bCs/>
          <w:i/>
          <w:iCs/>
          <w:color w:val="auto"/>
          <w:sz w:val="22"/>
          <w:szCs w:val="22"/>
          <w:lang w:val="en-US"/>
        </w:rPr>
      </w:pPr>
    </w:p>
    <w:p w:rsidR="00635EEF" w:rsidRPr="00635EEF" w:rsidRDefault="00635EEF" w:rsidP="007B135A">
      <w:pPr>
        <w:pStyle w:val="Default"/>
        <w:jc w:val="center"/>
        <w:rPr>
          <w:color w:val="auto"/>
          <w:sz w:val="22"/>
          <w:szCs w:val="22"/>
          <w:lang w:val="en-US"/>
        </w:rPr>
      </w:pPr>
      <w:r w:rsidRPr="00966A5B">
        <w:rPr>
          <w:i/>
          <w:iCs/>
          <w:color w:val="auto"/>
          <w:sz w:val="22"/>
          <w:szCs w:val="22"/>
          <w:vertAlign w:val="superscript"/>
          <w:lang w:val="en-US"/>
        </w:rPr>
        <w:t>1</w:t>
      </w:r>
      <w:r w:rsidR="00966A5B">
        <w:rPr>
          <w:i/>
          <w:iCs/>
          <w:color w:val="auto"/>
          <w:sz w:val="22"/>
          <w:szCs w:val="22"/>
          <w:lang w:val="en-US"/>
        </w:rPr>
        <w:t xml:space="preserve"> </w:t>
      </w:r>
      <w:r w:rsidRPr="00635EEF">
        <w:rPr>
          <w:i/>
          <w:iCs/>
          <w:color w:val="auto"/>
          <w:sz w:val="22"/>
          <w:szCs w:val="22"/>
          <w:lang w:val="en-US"/>
        </w:rPr>
        <w:t>Scientific and Engineering Center for Nuclear and Radiation Safety (SEC NRS), Moscow, Russia</w:t>
      </w:r>
    </w:p>
    <w:p w:rsidR="00635EEF" w:rsidRPr="00635EEF" w:rsidRDefault="00635EEF" w:rsidP="007B135A">
      <w:pPr>
        <w:pStyle w:val="Default"/>
        <w:jc w:val="center"/>
        <w:rPr>
          <w:color w:val="auto"/>
          <w:sz w:val="22"/>
          <w:szCs w:val="22"/>
          <w:lang w:val="en-US"/>
        </w:rPr>
      </w:pPr>
      <w:proofErr w:type="gramStart"/>
      <w:r w:rsidRPr="00635EEF">
        <w:rPr>
          <w:i/>
          <w:iCs/>
          <w:color w:val="auto"/>
          <w:sz w:val="22"/>
          <w:szCs w:val="22"/>
          <w:lang w:val="en-US"/>
        </w:rPr>
        <w:t>e-mail</w:t>
      </w:r>
      <w:proofErr w:type="gramEnd"/>
      <w:r w:rsidRPr="00635EEF">
        <w:rPr>
          <w:i/>
          <w:iCs/>
          <w:color w:val="auto"/>
          <w:sz w:val="22"/>
          <w:szCs w:val="22"/>
          <w:lang w:val="en-US"/>
        </w:rPr>
        <w:t>: secnrs@secnrs.ru</w:t>
      </w:r>
    </w:p>
    <w:p w:rsidR="00635EEF" w:rsidRPr="00635EEF" w:rsidRDefault="00635EEF" w:rsidP="007B135A">
      <w:pPr>
        <w:pStyle w:val="Default"/>
        <w:jc w:val="center"/>
        <w:rPr>
          <w:color w:val="auto"/>
          <w:sz w:val="22"/>
          <w:szCs w:val="22"/>
          <w:lang w:val="en-US"/>
        </w:rPr>
      </w:pPr>
      <w:r w:rsidRPr="00966A5B">
        <w:rPr>
          <w:i/>
          <w:iCs/>
          <w:color w:val="auto"/>
          <w:sz w:val="22"/>
          <w:szCs w:val="22"/>
          <w:vertAlign w:val="superscript"/>
          <w:lang w:val="en-US"/>
        </w:rPr>
        <w:t>2</w:t>
      </w:r>
      <w:r w:rsidRPr="00635EEF">
        <w:rPr>
          <w:i/>
          <w:iCs/>
          <w:color w:val="auto"/>
          <w:sz w:val="22"/>
          <w:szCs w:val="22"/>
          <w:lang w:val="en-US"/>
        </w:rPr>
        <w:t>National Research Nuclear University (</w:t>
      </w:r>
      <w:proofErr w:type="spellStart"/>
      <w:r w:rsidRPr="00635EEF">
        <w:rPr>
          <w:i/>
          <w:iCs/>
          <w:color w:val="auto"/>
          <w:sz w:val="22"/>
          <w:szCs w:val="22"/>
          <w:lang w:val="en-US"/>
        </w:rPr>
        <w:t>MEPhI</w:t>
      </w:r>
      <w:proofErr w:type="spellEnd"/>
      <w:r w:rsidRPr="00635EEF">
        <w:rPr>
          <w:i/>
          <w:iCs/>
          <w:color w:val="auto"/>
          <w:sz w:val="22"/>
          <w:szCs w:val="22"/>
          <w:lang w:val="en-US"/>
        </w:rPr>
        <w:t>), Moscow, Russia</w:t>
      </w:r>
    </w:p>
    <w:p w:rsidR="00635EEF" w:rsidRDefault="00635EEF" w:rsidP="007B135A">
      <w:pPr>
        <w:pStyle w:val="Default"/>
        <w:jc w:val="center"/>
        <w:rPr>
          <w:i/>
          <w:iCs/>
          <w:color w:val="auto"/>
          <w:sz w:val="22"/>
          <w:szCs w:val="22"/>
          <w:lang w:val="en-US"/>
        </w:rPr>
      </w:pPr>
      <w:proofErr w:type="gramStart"/>
      <w:r w:rsidRPr="00635EEF">
        <w:rPr>
          <w:i/>
          <w:iCs/>
          <w:color w:val="auto"/>
          <w:sz w:val="22"/>
          <w:szCs w:val="22"/>
          <w:lang w:val="en-US"/>
        </w:rPr>
        <w:t>e-mail</w:t>
      </w:r>
      <w:proofErr w:type="gramEnd"/>
      <w:r w:rsidRPr="00635EEF">
        <w:rPr>
          <w:i/>
          <w:iCs/>
          <w:color w:val="auto"/>
          <w:sz w:val="22"/>
          <w:szCs w:val="22"/>
          <w:lang w:val="en-US"/>
        </w:rPr>
        <w:t>: info@mephi.ru</w:t>
      </w:r>
    </w:p>
    <w:p w:rsidR="007B135A" w:rsidRPr="00635EEF" w:rsidRDefault="007B135A" w:rsidP="007B135A">
      <w:pPr>
        <w:pStyle w:val="Default"/>
        <w:jc w:val="center"/>
        <w:rPr>
          <w:color w:val="auto"/>
          <w:sz w:val="22"/>
          <w:szCs w:val="22"/>
          <w:lang w:val="en-US"/>
        </w:rPr>
      </w:pPr>
    </w:p>
    <w:p w:rsidR="00635EEF" w:rsidRDefault="00635EEF" w:rsidP="007B135A">
      <w:pPr>
        <w:pStyle w:val="Default"/>
        <w:tabs>
          <w:tab w:val="left" w:pos="1276"/>
        </w:tabs>
        <w:ind w:left="1276" w:hanging="1276"/>
        <w:jc w:val="both"/>
        <w:rPr>
          <w:i/>
          <w:iCs/>
          <w:color w:val="auto"/>
          <w:sz w:val="22"/>
          <w:szCs w:val="22"/>
          <w:lang w:val="en-US"/>
        </w:rPr>
      </w:pPr>
      <w:r w:rsidRPr="00635EEF">
        <w:rPr>
          <w:b/>
          <w:bCs/>
          <w:color w:val="auto"/>
          <w:sz w:val="22"/>
          <w:szCs w:val="22"/>
          <w:lang w:val="en-US"/>
        </w:rPr>
        <w:t>Abstract</w:t>
      </w:r>
      <w:r w:rsidRPr="00635EEF">
        <w:rPr>
          <w:color w:val="auto"/>
          <w:sz w:val="22"/>
          <w:szCs w:val="22"/>
          <w:lang w:val="en-US"/>
        </w:rPr>
        <w:t xml:space="preserve">: </w:t>
      </w:r>
      <w:r w:rsidR="007B135A" w:rsidRPr="007B135A">
        <w:rPr>
          <w:color w:val="auto"/>
          <w:sz w:val="22"/>
          <w:szCs w:val="22"/>
          <w:lang w:val="en-US"/>
        </w:rPr>
        <w:t xml:space="preserve">    </w:t>
      </w:r>
      <w:r w:rsidR="00966A5B">
        <w:rPr>
          <w:color w:val="auto"/>
          <w:sz w:val="22"/>
          <w:szCs w:val="22"/>
          <w:lang w:val="en-US"/>
        </w:rPr>
        <w:tab/>
      </w:r>
      <w:r w:rsidRPr="00635EEF">
        <w:rPr>
          <w:i/>
          <w:iCs/>
          <w:color w:val="auto"/>
          <w:sz w:val="22"/>
          <w:szCs w:val="22"/>
          <w:lang w:val="en-US"/>
        </w:rPr>
        <w:t>The report contains a diagram and an algorithm for choosing the optimal technological operations in case of SE NF, as well as determination of the degree of stability of the selected variant of technological operations in conditions.</w:t>
      </w:r>
    </w:p>
    <w:p w:rsidR="007B135A" w:rsidRPr="00635EEF" w:rsidRDefault="007B135A" w:rsidP="007B135A">
      <w:pPr>
        <w:pStyle w:val="Default"/>
        <w:jc w:val="both"/>
        <w:rPr>
          <w:color w:val="auto"/>
          <w:sz w:val="22"/>
          <w:szCs w:val="22"/>
          <w:lang w:val="en-US"/>
        </w:rPr>
      </w:pPr>
    </w:p>
    <w:p w:rsidR="00635EEF" w:rsidRPr="00966A5B" w:rsidRDefault="00635EEF" w:rsidP="00966A5B">
      <w:pPr>
        <w:pStyle w:val="Default"/>
        <w:tabs>
          <w:tab w:val="left" w:pos="1276"/>
        </w:tabs>
        <w:ind w:left="1276" w:hanging="1276"/>
        <w:jc w:val="both"/>
        <w:rPr>
          <w:i/>
          <w:iCs/>
          <w:color w:val="auto"/>
          <w:sz w:val="22"/>
          <w:szCs w:val="22"/>
          <w:lang w:val="en-US"/>
        </w:rPr>
      </w:pPr>
      <w:r w:rsidRPr="00635EEF">
        <w:rPr>
          <w:b/>
          <w:bCs/>
          <w:color w:val="auto"/>
          <w:sz w:val="22"/>
          <w:szCs w:val="22"/>
          <w:lang w:val="en-US"/>
        </w:rPr>
        <w:t>Key words</w:t>
      </w:r>
      <w:r w:rsidRPr="00635EEF">
        <w:rPr>
          <w:color w:val="auto"/>
          <w:sz w:val="22"/>
          <w:szCs w:val="22"/>
          <w:lang w:val="en-US"/>
        </w:rPr>
        <w:t xml:space="preserve">: </w:t>
      </w:r>
      <w:r w:rsidR="00966A5B">
        <w:rPr>
          <w:color w:val="auto"/>
          <w:sz w:val="22"/>
          <w:szCs w:val="22"/>
          <w:lang w:val="en-US"/>
        </w:rPr>
        <w:tab/>
      </w:r>
      <w:r w:rsidRPr="00966A5B">
        <w:rPr>
          <w:i/>
          <w:iCs/>
          <w:color w:val="auto"/>
          <w:sz w:val="22"/>
          <w:szCs w:val="22"/>
          <w:lang w:val="en-US"/>
        </w:rPr>
        <w:t xml:space="preserve">nuclear facilities (NF), decommissioning (DE), technological operations, the optimal option, particular indicators, a complex indicator, the Monte Carlo method, the stability of the selected option. </w:t>
      </w:r>
    </w:p>
    <w:p w:rsidR="00635EEF" w:rsidRPr="007B135A" w:rsidRDefault="00635EEF" w:rsidP="007B135A">
      <w:pPr>
        <w:pStyle w:val="Default"/>
        <w:jc w:val="center"/>
        <w:rPr>
          <w:color w:val="auto"/>
          <w:lang w:val="en-US"/>
        </w:rPr>
      </w:pPr>
    </w:p>
    <w:p w:rsidR="00635EEF" w:rsidRDefault="00635EEF" w:rsidP="007B135A">
      <w:pPr>
        <w:pStyle w:val="Default"/>
        <w:pageBreakBefore/>
        <w:jc w:val="center"/>
        <w:rPr>
          <w:color w:val="auto"/>
          <w:sz w:val="28"/>
          <w:szCs w:val="28"/>
        </w:rPr>
      </w:pPr>
      <w:r>
        <w:rPr>
          <w:b/>
          <w:bCs/>
          <w:color w:val="auto"/>
          <w:sz w:val="28"/>
          <w:szCs w:val="28"/>
        </w:rPr>
        <w:lastRenderedPageBreak/>
        <w:t>Оценка вариантов реализации ВЭ ОИАЭ</w:t>
      </w:r>
    </w:p>
    <w:p w:rsidR="00F31429" w:rsidRDefault="00F31429" w:rsidP="00F31429">
      <w:pPr>
        <w:pStyle w:val="Default"/>
        <w:ind w:firstLine="709"/>
        <w:jc w:val="both"/>
        <w:rPr>
          <w:color w:val="auto"/>
          <w:sz w:val="23"/>
          <w:szCs w:val="23"/>
        </w:rPr>
      </w:pPr>
    </w:p>
    <w:p w:rsidR="00635EEF" w:rsidRDefault="00635EEF" w:rsidP="00F31429">
      <w:pPr>
        <w:pStyle w:val="Default"/>
        <w:ind w:firstLine="709"/>
        <w:jc w:val="both"/>
        <w:rPr>
          <w:color w:val="auto"/>
          <w:sz w:val="23"/>
          <w:szCs w:val="23"/>
        </w:rPr>
      </w:pPr>
      <w:r>
        <w:rPr>
          <w:color w:val="auto"/>
          <w:sz w:val="23"/>
          <w:szCs w:val="23"/>
        </w:rPr>
        <w:t xml:space="preserve">Ниже представлен некоторый перечень типовых основных физических характеристик конструкций, необходимых для расчёта показателей для выводимого из эксплуатации объекта. </w:t>
      </w:r>
    </w:p>
    <w:p w:rsidR="00F31429" w:rsidRDefault="00F31429" w:rsidP="00F31429">
      <w:pPr>
        <w:pStyle w:val="Default"/>
        <w:ind w:firstLine="709"/>
        <w:jc w:val="both"/>
        <w:rPr>
          <w:color w:val="auto"/>
          <w:sz w:val="23"/>
          <w:szCs w:val="23"/>
        </w:rPr>
      </w:pPr>
    </w:p>
    <w:p w:rsidR="00635EEF" w:rsidRDefault="00635EEF" w:rsidP="00F31429">
      <w:pPr>
        <w:pStyle w:val="Default"/>
        <w:jc w:val="both"/>
        <w:rPr>
          <w:color w:val="auto"/>
          <w:sz w:val="23"/>
          <w:szCs w:val="23"/>
        </w:rPr>
      </w:pPr>
      <w:r>
        <w:rPr>
          <w:color w:val="auto"/>
          <w:sz w:val="23"/>
          <w:szCs w:val="23"/>
        </w:rPr>
        <w:t xml:space="preserve">….. (текст) </w:t>
      </w:r>
    </w:p>
    <w:p w:rsidR="00635EEF" w:rsidRDefault="00635EEF" w:rsidP="00F31429">
      <w:pPr>
        <w:pStyle w:val="Default"/>
        <w:jc w:val="both"/>
        <w:rPr>
          <w:color w:val="auto"/>
          <w:sz w:val="23"/>
          <w:szCs w:val="23"/>
        </w:rPr>
      </w:pPr>
      <w:r>
        <w:rPr>
          <w:color w:val="auto"/>
          <w:sz w:val="23"/>
          <w:szCs w:val="23"/>
        </w:rPr>
        <w:t xml:space="preserve">….. (текст) </w:t>
      </w:r>
    </w:p>
    <w:p w:rsidR="00F31429" w:rsidRDefault="00F31429" w:rsidP="00F31429">
      <w:pPr>
        <w:pStyle w:val="Default"/>
        <w:ind w:firstLine="709"/>
        <w:jc w:val="both"/>
        <w:rPr>
          <w:color w:val="auto"/>
          <w:sz w:val="23"/>
          <w:szCs w:val="23"/>
        </w:rPr>
      </w:pPr>
    </w:p>
    <w:p w:rsidR="00635EEF" w:rsidRDefault="00635EEF" w:rsidP="00F31429">
      <w:pPr>
        <w:pStyle w:val="Default"/>
        <w:ind w:firstLine="709"/>
        <w:jc w:val="both"/>
        <w:rPr>
          <w:color w:val="auto"/>
          <w:sz w:val="23"/>
          <w:szCs w:val="23"/>
        </w:rPr>
      </w:pPr>
      <w:r>
        <w:rPr>
          <w:color w:val="auto"/>
          <w:sz w:val="23"/>
          <w:szCs w:val="23"/>
        </w:rPr>
        <w:t>Для каждого варианта ВЭ с несколькими возможными технологическими операциями (</w:t>
      </w:r>
      <w:r>
        <w:rPr>
          <w:i/>
          <w:iCs/>
          <w:color w:val="auto"/>
          <w:sz w:val="23"/>
          <w:szCs w:val="23"/>
        </w:rPr>
        <w:t>i=</w:t>
      </w:r>
      <w:proofErr w:type="gramStart"/>
      <w:r>
        <w:rPr>
          <w:i/>
          <w:iCs/>
          <w:color w:val="auto"/>
          <w:sz w:val="23"/>
          <w:szCs w:val="23"/>
        </w:rPr>
        <w:t>1,…</w:t>
      </w:r>
      <w:proofErr w:type="gramEnd"/>
      <w:r>
        <w:rPr>
          <w:i/>
          <w:iCs/>
          <w:color w:val="auto"/>
          <w:sz w:val="23"/>
          <w:szCs w:val="23"/>
        </w:rPr>
        <w:t>,n</w:t>
      </w:r>
      <w:r>
        <w:rPr>
          <w:color w:val="auto"/>
          <w:sz w:val="23"/>
          <w:szCs w:val="23"/>
        </w:rPr>
        <w:t xml:space="preserve">) подсчитывается комплексный показатель </w:t>
      </w:r>
      <w:proofErr w:type="spellStart"/>
      <w:r>
        <w:rPr>
          <w:i/>
          <w:iCs/>
          <w:color w:val="auto"/>
          <w:sz w:val="23"/>
          <w:szCs w:val="23"/>
        </w:rPr>
        <w:t>K</w:t>
      </w:r>
      <w:r>
        <w:rPr>
          <w:i/>
          <w:iCs/>
          <w:color w:val="auto"/>
          <w:sz w:val="16"/>
          <w:szCs w:val="16"/>
        </w:rPr>
        <w:t>i</w:t>
      </w:r>
      <w:proofErr w:type="spellEnd"/>
      <w:r>
        <w:rPr>
          <w:color w:val="auto"/>
          <w:sz w:val="23"/>
          <w:szCs w:val="23"/>
        </w:rPr>
        <w:t>:</w:t>
      </w:r>
    </w:p>
    <w:p w:rsidR="00F31429" w:rsidRDefault="00F31429" w:rsidP="00F31429">
      <w:pPr>
        <w:pStyle w:val="Default"/>
        <w:ind w:firstLine="709"/>
        <w:jc w:val="both"/>
        <w:rPr>
          <w:color w:val="auto"/>
          <w:sz w:val="23"/>
          <w:szCs w:val="23"/>
        </w:rPr>
      </w:pPr>
    </w:p>
    <w:p w:rsidR="00635EEF" w:rsidRDefault="00635EEF" w:rsidP="00F31429">
      <w:pPr>
        <w:pStyle w:val="Default"/>
        <w:ind w:firstLine="709"/>
        <w:jc w:val="center"/>
        <w:rPr>
          <w:color w:val="auto"/>
          <w:sz w:val="23"/>
          <w:szCs w:val="23"/>
        </w:rPr>
      </w:pPr>
      <w:r>
        <w:rPr>
          <w:rFonts w:ascii="Cambria Math" w:hAnsi="Cambria Math" w:cs="Cambria Math"/>
          <w:color w:val="auto"/>
          <w:sz w:val="23"/>
          <w:szCs w:val="23"/>
        </w:rPr>
        <w:t>𝐾</w:t>
      </w:r>
      <w:r>
        <w:rPr>
          <w:rFonts w:ascii="Cambria Math" w:hAnsi="Cambria Math" w:cs="Cambria Math"/>
          <w:color w:val="auto"/>
          <w:sz w:val="17"/>
          <w:szCs w:val="17"/>
        </w:rPr>
        <w:t>𝑖</w:t>
      </w:r>
      <w:r>
        <w:rPr>
          <w:rFonts w:ascii="Cambria Math" w:hAnsi="Cambria Math" w:cs="Cambria Math"/>
          <w:color w:val="auto"/>
          <w:sz w:val="23"/>
          <w:szCs w:val="23"/>
        </w:rPr>
        <w:t>=𝛼</w:t>
      </w:r>
      <w:r>
        <w:rPr>
          <w:rFonts w:ascii="Cambria Math" w:hAnsi="Cambria Math" w:cs="Cambria Math"/>
          <w:color w:val="auto"/>
          <w:sz w:val="17"/>
          <w:szCs w:val="17"/>
        </w:rPr>
        <w:t>1</w:t>
      </w:r>
      <w:r>
        <w:rPr>
          <w:rFonts w:ascii="Cambria Math" w:hAnsi="Cambria Math" w:cs="Cambria Math"/>
          <w:color w:val="auto"/>
          <w:sz w:val="23"/>
          <w:szCs w:val="23"/>
        </w:rPr>
        <w:t>СР</w:t>
      </w:r>
      <w:r>
        <w:rPr>
          <w:rFonts w:ascii="Cambria Math" w:hAnsi="Cambria Math" w:cs="Cambria Math"/>
          <w:color w:val="auto"/>
          <w:sz w:val="17"/>
          <w:szCs w:val="17"/>
        </w:rPr>
        <w:t>Н𝑖</w:t>
      </w:r>
      <w:r>
        <w:rPr>
          <w:rFonts w:ascii="Cambria Math" w:hAnsi="Cambria Math" w:cs="Cambria Math"/>
          <w:color w:val="auto"/>
          <w:sz w:val="23"/>
          <w:szCs w:val="23"/>
        </w:rPr>
        <w:t>+𝛼</w:t>
      </w:r>
      <w:r>
        <w:rPr>
          <w:rFonts w:ascii="Cambria Math" w:hAnsi="Cambria Math" w:cs="Cambria Math"/>
          <w:color w:val="auto"/>
          <w:sz w:val="17"/>
          <w:szCs w:val="17"/>
        </w:rPr>
        <w:t>2</w:t>
      </w:r>
      <w:r>
        <w:rPr>
          <w:rFonts w:ascii="Cambria Math" w:hAnsi="Cambria Math" w:cs="Cambria Math"/>
          <w:color w:val="auto"/>
          <w:sz w:val="23"/>
          <w:szCs w:val="23"/>
        </w:rPr>
        <w:t>ДЛ</w:t>
      </w:r>
      <w:r>
        <w:rPr>
          <w:rFonts w:ascii="Cambria Math" w:hAnsi="Cambria Math" w:cs="Cambria Math"/>
          <w:color w:val="auto"/>
          <w:sz w:val="17"/>
          <w:szCs w:val="17"/>
        </w:rPr>
        <w:t>Н𝑖</w:t>
      </w:r>
      <w:r>
        <w:rPr>
          <w:rFonts w:ascii="Cambria Math" w:hAnsi="Cambria Math" w:cs="Cambria Math"/>
          <w:color w:val="auto"/>
          <w:sz w:val="23"/>
          <w:szCs w:val="23"/>
        </w:rPr>
        <w:t>+𝛼</w:t>
      </w:r>
      <w:r>
        <w:rPr>
          <w:rFonts w:ascii="Cambria Math" w:hAnsi="Cambria Math" w:cs="Cambria Math"/>
          <w:color w:val="auto"/>
          <w:sz w:val="17"/>
          <w:szCs w:val="17"/>
        </w:rPr>
        <w:t>3</w:t>
      </w:r>
      <w:r>
        <w:rPr>
          <w:rFonts w:ascii="Cambria Math" w:hAnsi="Cambria Math" w:cs="Cambria Math"/>
          <w:color w:val="auto"/>
          <w:sz w:val="23"/>
          <w:szCs w:val="23"/>
        </w:rPr>
        <w:t>ДНП</w:t>
      </w:r>
      <w:r>
        <w:rPr>
          <w:rFonts w:ascii="Cambria Math" w:hAnsi="Cambria Math" w:cs="Cambria Math"/>
          <w:color w:val="auto"/>
          <w:sz w:val="17"/>
          <w:szCs w:val="17"/>
        </w:rPr>
        <w:t>Н𝑖</w:t>
      </w:r>
      <w:r>
        <w:rPr>
          <w:rFonts w:ascii="Cambria Math" w:hAnsi="Cambria Math" w:cs="Cambria Math"/>
          <w:color w:val="auto"/>
          <w:sz w:val="23"/>
          <w:szCs w:val="23"/>
        </w:rPr>
        <w:t>+𝛼</w:t>
      </w:r>
      <w:r>
        <w:rPr>
          <w:rFonts w:ascii="Cambria Math" w:hAnsi="Cambria Math" w:cs="Cambria Math"/>
          <w:color w:val="auto"/>
          <w:sz w:val="17"/>
          <w:szCs w:val="17"/>
        </w:rPr>
        <w:t>4</w:t>
      </w:r>
      <w:r>
        <w:rPr>
          <w:rFonts w:ascii="Cambria Math" w:hAnsi="Cambria Math" w:cs="Cambria Math"/>
          <w:color w:val="auto"/>
          <w:sz w:val="23"/>
          <w:szCs w:val="23"/>
        </w:rPr>
        <w:t>ВС</w:t>
      </w:r>
      <w:r>
        <w:rPr>
          <w:rFonts w:ascii="Cambria Math" w:hAnsi="Cambria Math" w:cs="Cambria Math"/>
          <w:color w:val="auto"/>
          <w:sz w:val="17"/>
          <w:szCs w:val="17"/>
        </w:rPr>
        <w:t>Н𝑖</w:t>
      </w:r>
      <w:r>
        <w:rPr>
          <w:rFonts w:ascii="Cambria Math" w:hAnsi="Cambria Math" w:cs="Cambria Math"/>
          <w:color w:val="auto"/>
          <w:sz w:val="23"/>
          <w:szCs w:val="23"/>
        </w:rPr>
        <w:t>+𝛼</w:t>
      </w:r>
      <w:r>
        <w:rPr>
          <w:rFonts w:ascii="Cambria Math" w:hAnsi="Cambria Math" w:cs="Cambria Math"/>
          <w:color w:val="auto"/>
          <w:sz w:val="17"/>
          <w:szCs w:val="17"/>
        </w:rPr>
        <w:t>5</w:t>
      </w:r>
      <w:r>
        <w:rPr>
          <w:rFonts w:ascii="Cambria Math" w:hAnsi="Cambria Math" w:cs="Cambria Math"/>
          <w:color w:val="auto"/>
          <w:sz w:val="23"/>
          <w:szCs w:val="23"/>
        </w:rPr>
        <w:t>ДНН</w:t>
      </w:r>
      <w:r>
        <w:rPr>
          <w:rFonts w:ascii="Cambria Math" w:hAnsi="Cambria Math" w:cs="Cambria Math"/>
          <w:color w:val="auto"/>
          <w:sz w:val="17"/>
          <w:szCs w:val="17"/>
        </w:rPr>
        <w:t>Н𝑖</w:t>
      </w:r>
      <w:r>
        <w:rPr>
          <w:rFonts w:ascii="Cambria Math" w:hAnsi="Cambria Math" w:cs="Cambria Math"/>
          <w:color w:val="auto"/>
          <w:sz w:val="23"/>
          <w:szCs w:val="23"/>
        </w:rPr>
        <w:t xml:space="preserve">, </w:t>
      </w:r>
      <w:r>
        <w:rPr>
          <w:color w:val="auto"/>
          <w:sz w:val="23"/>
          <w:szCs w:val="23"/>
        </w:rPr>
        <w:t>(1)</w:t>
      </w:r>
    </w:p>
    <w:p w:rsidR="00F31429" w:rsidRDefault="00F31429" w:rsidP="00F31429">
      <w:pPr>
        <w:pStyle w:val="Default"/>
        <w:ind w:firstLine="709"/>
        <w:jc w:val="center"/>
        <w:rPr>
          <w:color w:val="auto"/>
          <w:sz w:val="23"/>
          <w:szCs w:val="23"/>
        </w:rPr>
      </w:pPr>
    </w:p>
    <w:p w:rsidR="00635EEF" w:rsidRDefault="00635EEF" w:rsidP="00F31429">
      <w:pPr>
        <w:pStyle w:val="Default"/>
        <w:jc w:val="both"/>
        <w:rPr>
          <w:color w:val="auto"/>
          <w:sz w:val="23"/>
          <w:szCs w:val="23"/>
        </w:rPr>
      </w:pPr>
      <w:r>
        <w:rPr>
          <w:color w:val="auto"/>
          <w:sz w:val="23"/>
          <w:szCs w:val="23"/>
        </w:rPr>
        <w:t xml:space="preserve">где </w:t>
      </w:r>
      <w:r>
        <w:rPr>
          <w:i/>
          <w:iCs/>
          <w:color w:val="auto"/>
          <w:sz w:val="23"/>
          <w:szCs w:val="23"/>
        </w:rPr>
        <w:t>α</w:t>
      </w:r>
      <w:r>
        <w:rPr>
          <w:i/>
          <w:iCs/>
          <w:color w:val="auto"/>
          <w:sz w:val="15"/>
          <w:szCs w:val="15"/>
        </w:rPr>
        <w:t>j</w:t>
      </w:r>
      <w:r>
        <w:rPr>
          <w:i/>
          <w:iCs/>
          <w:color w:val="auto"/>
          <w:sz w:val="23"/>
          <w:szCs w:val="23"/>
        </w:rPr>
        <w:t xml:space="preserve">, j=1,2,3,4,5 </w:t>
      </w:r>
      <w:r>
        <w:rPr>
          <w:color w:val="auto"/>
          <w:sz w:val="23"/>
          <w:szCs w:val="23"/>
        </w:rPr>
        <w:t xml:space="preserve">– введённые (принятые) коэффициенты приоритета частных показателей </w:t>
      </w:r>
      <w:r>
        <w:rPr>
          <w:rFonts w:ascii="Cambria Math" w:hAnsi="Cambria Math" w:cs="Cambria Math"/>
          <w:color w:val="auto"/>
          <w:sz w:val="23"/>
          <w:szCs w:val="23"/>
        </w:rPr>
        <w:t>0≤𝛼</w:t>
      </w:r>
      <w:r>
        <w:rPr>
          <w:rFonts w:ascii="Cambria Math" w:hAnsi="Cambria Math" w:cs="Cambria Math"/>
          <w:color w:val="auto"/>
          <w:sz w:val="16"/>
          <w:szCs w:val="16"/>
        </w:rPr>
        <w:t>𝑗</w:t>
      </w:r>
      <w:r>
        <w:rPr>
          <w:rFonts w:ascii="Cambria Math" w:hAnsi="Cambria Math" w:cs="Cambria Math"/>
          <w:color w:val="auto"/>
          <w:sz w:val="23"/>
          <w:szCs w:val="23"/>
        </w:rPr>
        <w:t>≤</w:t>
      </w:r>
      <w:proofErr w:type="gramStart"/>
      <w:r>
        <w:rPr>
          <w:rFonts w:ascii="Cambria Math" w:hAnsi="Cambria Math" w:cs="Cambria Math"/>
          <w:color w:val="auto"/>
          <w:sz w:val="23"/>
          <w:szCs w:val="23"/>
        </w:rPr>
        <w:t>1,Σ</w:t>
      </w:r>
      <w:proofErr w:type="gramEnd"/>
      <w:r>
        <w:rPr>
          <w:rFonts w:ascii="Cambria Math" w:hAnsi="Cambria Math" w:cs="Cambria Math"/>
          <w:color w:val="auto"/>
          <w:sz w:val="23"/>
          <w:szCs w:val="23"/>
        </w:rPr>
        <w:t>𝛼</w:t>
      </w:r>
      <w:r>
        <w:rPr>
          <w:rFonts w:ascii="Cambria Math" w:hAnsi="Cambria Math" w:cs="Cambria Math"/>
          <w:color w:val="auto"/>
          <w:sz w:val="16"/>
          <w:szCs w:val="16"/>
        </w:rPr>
        <w:t>𝑗5𝑗=1</w:t>
      </w:r>
      <w:r>
        <w:rPr>
          <w:rFonts w:ascii="Cambria Math" w:hAnsi="Cambria Math" w:cs="Cambria Math"/>
          <w:color w:val="auto"/>
          <w:sz w:val="23"/>
          <w:szCs w:val="23"/>
        </w:rPr>
        <w:t xml:space="preserve">=1 </w:t>
      </w:r>
      <w:r>
        <w:rPr>
          <w:color w:val="auto"/>
          <w:sz w:val="23"/>
          <w:szCs w:val="23"/>
        </w:rPr>
        <w:t xml:space="preserve">, </w:t>
      </w:r>
      <w:r>
        <w:rPr>
          <w:rFonts w:ascii="Cambria Math" w:hAnsi="Cambria Math" w:cs="Cambria Math"/>
          <w:color w:val="auto"/>
          <w:sz w:val="23"/>
          <w:szCs w:val="23"/>
        </w:rPr>
        <w:t>СР</w:t>
      </w:r>
      <w:r>
        <w:rPr>
          <w:rFonts w:ascii="Cambria Math" w:hAnsi="Cambria Math" w:cs="Cambria Math"/>
          <w:color w:val="auto"/>
          <w:sz w:val="16"/>
          <w:szCs w:val="16"/>
        </w:rPr>
        <w:t>Н𝑖</w:t>
      </w:r>
      <w:r>
        <w:rPr>
          <w:color w:val="auto"/>
          <w:sz w:val="23"/>
          <w:szCs w:val="23"/>
        </w:rPr>
        <w:t xml:space="preserve">, </w:t>
      </w:r>
      <w:r>
        <w:rPr>
          <w:rFonts w:ascii="Cambria Math" w:hAnsi="Cambria Math" w:cs="Cambria Math"/>
          <w:color w:val="auto"/>
          <w:sz w:val="23"/>
          <w:szCs w:val="23"/>
        </w:rPr>
        <w:t>ДЛ</w:t>
      </w:r>
      <w:r>
        <w:rPr>
          <w:rFonts w:ascii="Cambria Math" w:hAnsi="Cambria Math" w:cs="Cambria Math"/>
          <w:color w:val="auto"/>
          <w:sz w:val="16"/>
          <w:szCs w:val="16"/>
        </w:rPr>
        <w:t>Н𝑖</w:t>
      </w:r>
      <w:r>
        <w:rPr>
          <w:color w:val="auto"/>
          <w:sz w:val="23"/>
          <w:szCs w:val="23"/>
        </w:rPr>
        <w:t xml:space="preserve">, </w:t>
      </w:r>
      <w:r>
        <w:rPr>
          <w:rFonts w:ascii="Cambria Math" w:hAnsi="Cambria Math" w:cs="Cambria Math"/>
          <w:color w:val="auto"/>
          <w:sz w:val="23"/>
          <w:szCs w:val="23"/>
        </w:rPr>
        <w:t>ДНП</w:t>
      </w:r>
      <w:r>
        <w:rPr>
          <w:rFonts w:ascii="Cambria Math" w:hAnsi="Cambria Math" w:cs="Cambria Math"/>
          <w:color w:val="auto"/>
          <w:sz w:val="16"/>
          <w:szCs w:val="16"/>
        </w:rPr>
        <w:t>Н𝑖</w:t>
      </w:r>
      <w:r>
        <w:rPr>
          <w:color w:val="auto"/>
          <w:sz w:val="23"/>
          <w:szCs w:val="23"/>
        </w:rPr>
        <w:t xml:space="preserve">, </w:t>
      </w:r>
      <w:r>
        <w:rPr>
          <w:rFonts w:ascii="Cambria Math" w:hAnsi="Cambria Math" w:cs="Cambria Math"/>
          <w:color w:val="auto"/>
          <w:sz w:val="23"/>
          <w:szCs w:val="23"/>
        </w:rPr>
        <w:t>ВС</w:t>
      </w:r>
      <w:r>
        <w:rPr>
          <w:rFonts w:ascii="Cambria Math" w:hAnsi="Cambria Math" w:cs="Cambria Math"/>
          <w:color w:val="auto"/>
          <w:sz w:val="16"/>
          <w:szCs w:val="16"/>
        </w:rPr>
        <w:t>Н𝑖</w:t>
      </w:r>
      <w:r>
        <w:rPr>
          <w:rFonts w:ascii="Cambria Math" w:hAnsi="Cambria Math" w:cs="Cambria Math"/>
          <w:color w:val="auto"/>
          <w:sz w:val="23"/>
          <w:szCs w:val="23"/>
        </w:rPr>
        <w:t>, ДНН</w:t>
      </w:r>
      <w:r>
        <w:rPr>
          <w:rFonts w:ascii="Cambria Math" w:hAnsi="Cambria Math" w:cs="Cambria Math"/>
          <w:color w:val="auto"/>
          <w:sz w:val="16"/>
          <w:szCs w:val="16"/>
        </w:rPr>
        <w:t xml:space="preserve">Н𝑖 </w:t>
      </w:r>
      <w:r>
        <w:rPr>
          <w:color w:val="auto"/>
          <w:sz w:val="23"/>
          <w:szCs w:val="23"/>
        </w:rPr>
        <w:t xml:space="preserve">– нормированные значения частных показателей, посчитываемых, например, для показателя </w:t>
      </w:r>
      <w:r>
        <w:rPr>
          <w:rFonts w:ascii="Cambria Math" w:hAnsi="Cambria Math" w:cs="Cambria Math"/>
          <w:color w:val="auto"/>
          <w:sz w:val="23"/>
          <w:szCs w:val="23"/>
        </w:rPr>
        <w:t>СР</w:t>
      </w:r>
      <w:r>
        <w:rPr>
          <w:rFonts w:ascii="Cambria Math" w:hAnsi="Cambria Math" w:cs="Cambria Math"/>
          <w:color w:val="auto"/>
          <w:sz w:val="16"/>
          <w:szCs w:val="16"/>
        </w:rPr>
        <w:t xml:space="preserve">Н𝑖 </w:t>
      </w:r>
      <w:r>
        <w:rPr>
          <w:color w:val="auto"/>
          <w:sz w:val="23"/>
          <w:szCs w:val="23"/>
        </w:rPr>
        <w:t>согласно ниже представленной формуле (2):</w:t>
      </w:r>
    </w:p>
    <w:p w:rsidR="00635EEF" w:rsidRDefault="00635EEF" w:rsidP="00F31429">
      <w:pPr>
        <w:pStyle w:val="Default"/>
        <w:ind w:firstLine="709"/>
        <w:jc w:val="center"/>
        <w:rPr>
          <w:color w:val="auto"/>
          <w:sz w:val="23"/>
          <w:szCs w:val="23"/>
        </w:rPr>
      </w:pPr>
      <w:r>
        <w:rPr>
          <w:rFonts w:ascii="Cambria Math" w:hAnsi="Cambria Math" w:cs="Cambria Math"/>
          <w:color w:val="auto"/>
          <w:sz w:val="23"/>
          <w:szCs w:val="23"/>
        </w:rPr>
        <w:t>СР</w:t>
      </w:r>
      <w:r>
        <w:rPr>
          <w:rFonts w:ascii="Cambria Math" w:hAnsi="Cambria Math" w:cs="Cambria Math"/>
          <w:color w:val="auto"/>
          <w:sz w:val="17"/>
          <w:szCs w:val="17"/>
        </w:rPr>
        <w:t>Н𝑖</w:t>
      </w:r>
      <w:r>
        <w:rPr>
          <w:rFonts w:ascii="Cambria Math" w:hAnsi="Cambria Math" w:cs="Cambria Math"/>
          <w:color w:val="auto"/>
          <w:sz w:val="23"/>
          <w:szCs w:val="23"/>
        </w:rPr>
        <w:t>=</w:t>
      </w:r>
      <w:proofErr w:type="spellStart"/>
      <w:r>
        <w:rPr>
          <w:rFonts w:ascii="Cambria Math" w:hAnsi="Cambria Math" w:cs="Cambria Math"/>
          <w:color w:val="auto"/>
          <w:sz w:val="17"/>
          <w:szCs w:val="17"/>
        </w:rPr>
        <w:t>СР</w:t>
      </w:r>
      <w:r>
        <w:rPr>
          <w:rFonts w:ascii="Cambria Math" w:hAnsi="Cambria Math" w:cs="Cambria Math"/>
          <w:color w:val="auto"/>
          <w:sz w:val="14"/>
          <w:szCs w:val="14"/>
        </w:rPr>
        <w:t>макс</w:t>
      </w:r>
      <w:proofErr w:type="spellEnd"/>
      <w:r>
        <w:rPr>
          <w:rFonts w:ascii="Cambria Math" w:hAnsi="Cambria Math" w:cs="Cambria Math"/>
          <w:color w:val="auto"/>
          <w:sz w:val="17"/>
          <w:szCs w:val="17"/>
        </w:rPr>
        <w:t>−СР</w:t>
      </w:r>
      <w:r>
        <w:rPr>
          <w:rFonts w:ascii="Cambria Math" w:hAnsi="Cambria Math" w:cs="Cambria Math"/>
          <w:color w:val="auto"/>
          <w:sz w:val="14"/>
          <w:szCs w:val="14"/>
        </w:rPr>
        <w:t>𝑖</w:t>
      </w:r>
      <w:proofErr w:type="spellStart"/>
      <w:r>
        <w:rPr>
          <w:rFonts w:ascii="Cambria Math" w:hAnsi="Cambria Math" w:cs="Cambria Math"/>
          <w:color w:val="auto"/>
          <w:sz w:val="17"/>
          <w:szCs w:val="17"/>
        </w:rPr>
        <w:t>СР</w:t>
      </w:r>
      <w:r>
        <w:rPr>
          <w:rFonts w:ascii="Cambria Math" w:hAnsi="Cambria Math" w:cs="Cambria Math"/>
          <w:color w:val="auto"/>
          <w:sz w:val="14"/>
          <w:szCs w:val="14"/>
        </w:rPr>
        <w:t>макс</w:t>
      </w:r>
      <w:r>
        <w:rPr>
          <w:rFonts w:ascii="Cambria Math" w:hAnsi="Cambria Math" w:cs="Cambria Math"/>
          <w:color w:val="auto"/>
          <w:sz w:val="17"/>
          <w:szCs w:val="17"/>
        </w:rPr>
        <w:t>−СР</w:t>
      </w:r>
      <w:r>
        <w:rPr>
          <w:rFonts w:ascii="Cambria Math" w:hAnsi="Cambria Math" w:cs="Cambria Math"/>
          <w:color w:val="auto"/>
          <w:sz w:val="14"/>
          <w:szCs w:val="14"/>
        </w:rPr>
        <w:t>мин</w:t>
      </w:r>
      <w:proofErr w:type="spellEnd"/>
      <w:r>
        <w:rPr>
          <w:color w:val="auto"/>
          <w:sz w:val="23"/>
          <w:szCs w:val="23"/>
        </w:rPr>
        <w:t>, (2)</w:t>
      </w:r>
    </w:p>
    <w:p w:rsidR="00F31429" w:rsidRDefault="00F31429" w:rsidP="00F31429">
      <w:pPr>
        <w:pStyle w:val="Default"/>
        <w:ind w:firstLine="709"/>
        <w:jc w:val="center"/>
        <w:rPr>
          <w:color w:val="auto"/>
          <w:sz w:val="23"/>
          <w:szCs w:val="23"/>
        </w:rPr>
      </w:pPr>
    </w:p>
    <w:p w:rsidR="00635EEF" w:rsidRDefault="00635EEF" w:rsidP="00F31429">
      <w:pPr>
        <w:pStyle w:val="Default"/>
        <w:jc w:val="both"/>
        <w:rPr>
          <w:rFonts w:ascii="Cambria Math" w:hAnsi="Cambria Math" w:cs="Cambria Math"/>
          <w:color w:val="auto"/>
          <w:sz w:val="23"/>
          <w:szCs w:val="23"/>
        </w:rPr>
      </w:pPr>
      <w:r>
        <w:rPr>
          <w:color w:val="auto"/>
          <w:sz w:val="23"/>
          <w:szCs w:val="23"/>
        </w:rPr>
        <w:t xml:space="preserve">где: </w:t>
      </w:r>
      <w:proofErr w:type="spellStart"/>
      <w:r>
        <w:rPr>
          <w:rFonts w:ascii="Cambria Math" w:hAnsi="Cambria Math" w:cs="Cambria Math"/>
          <w:color w:val="auto"/>
          <w:sz w:val="23"/>
          <w:szCs w:val="23"/>
        </w:rPr>
        <w:t>СР</w:t>
      </w:r>
      <w:r>
        <w:rPr>
          <w:rFonts w:ascii="Cambria Math" w:hAnsi="Cambria Math" w:cs="Cambria Math"/>
          <w:color w:val="auto"/>
          <w:sz w:val="17"/>
          <w:szCs w:val="17"/>
        </w:rPr>
        <w:t>макс</w:t>
      </w:r>
      <w:proofErr w:type="spellEnd"/>
      <w:r>
        <w:rPr>
          <w:rFonts w:ascii="Cambria Math" w:hAnsi="Cambria Math" w:cs="Cambria Math"/>
          <w:color w:val="auto"/>
          <w:sz w:val="23"/>
          <w:szCs w:val="23"/>
        </w:rPr>
        <w:t>=</w:t>
      </w:r>
      <w:proofErr w:type="spellStart"/>
      <w:r>
        <w:rPr>
          <w:rFonts w:ascii="Cambria Math" w:hAnsi="Cambria Math" w:cs="Cambria Math"/>
          <w:color w:val="auto"/>
          <w:sz w:val="23"/>
          <w:szCs w:val="23"/>
        </w:rPr>
        <w:t>max</w:t>
      </w:r>
      <w:proofErr w:type="spellEnd"/>
      <w:r>
        <w:rPr>
          <w:rFonts w:ascii="Cambria Math" w:hAnsi="Cambria Math" w:cs="Cambria Math"/>
          <w:color w:val="auto"/>
          <w:sz w:val="23"/>
          <w:szCs w:val="23"/>
        </w:rPr>
        <w:t>(СР</w:t>
      </w:r>
      <w:proofErr w:type="gramStart"/>
      <w:r>
        <w:rPr>
          <w:rFonts w:ascii="Cambria Math" w:hAnsi="Cambria Math" w:cs="Cambria Math"/>
          <w:color w:val="auto"/>
          <w:sz w:val="17"/>
          <w:szCs w:val="17"/>
        </w:rPr>
        <w:t>1</w:t>
      </w:r>
      <w:r>
        <w:rPr>
          <w:rFonts w:ascii="Cambria Math" w:hAnsi="Cambria Math" w:cs="Cambria Math"/>
          <w:color w:val="auto"/>
          <w:sz w:val="23"/>
          <w:szCs w:val="23"/>
        </w:rPr>
        <w:t>,…</w:t>
      </w:r>
      <w:proofErr w:type="gramEnd"/>
      <w:r>
        <w:rPr>
          <w:rFonts w:ascii="Cambria Math" w:hAnsi="Cambria Math" w:cs="Cambria Math"/>
          <w:color w:val="auto"/>
          <w:sz w:val="23"/>
          <w:szCs w:val="23"/>
        </w:rPr>
        <w:t>,СР</w:t>
      </w:r>
      <w:r>
        <w:rPr>
          <w:rFonts w:ascii="Cambria Math" w:hAnsi="Cambria Math" w:cs="Cambria Math"/>
          <w:color w:val="auto"/>
          <w:sz w:val="17"/>
          <w:szCs w:val="17"/>
        </w:rPr>
        <w:t>𝑛</w:t>
      </w:r>
      <w:r>
        <w:rPr>
          <w:rFonts w:ascii="Cambria Math" w:hAnsi="Cambria Math" w:cs="Cambria Math"/>
          <w:color w:val="auto"/>
          <w:sz w:val="23"/>
          <w:szCs w:val="23"/>
        </w:rPr>
        <w:t>);</w:t>
      </w:r>
    </w:p>
    <w:p w:rsidR="00635EEF" w:rsidRDefault="00635EEF" w:rsidP="00F31429">
      <w:pPr>
        <w:pStyle w:val="Default"/>
        <w:jc w:val="both"/>
        <w:rPr>
          <w:color w:val="auto"/>
          <w:sz w:val="23"/>
          <w:szCs w:val="23"/>
        </w:rPr>
      </w:pPr>
      <w:proofErr w:type="spellStart"/>
      <w:r>
        <w:rPr>
          <w:rFonts w:ascii="Cambria Math" w:hAnsi="Cambria Math" w:cs="Cambria Math"/>
          <w:color w:val="auto"/>
          <w:sz w:val="23"/>
          <w:szCs w:val="23"/>
        </w:rPr>
        <w:t>СР</w:t>
      </w:r>
      <w:r>
        <w:rPr>
          <w:rFonts w:ascii="Cambria Math" w:hAnsi="Cambria Math" w:cs="Cambria Math"/>
          <w:color w:val="auto"/>
          <w:sz w:val="17"/>
          <w:szCs w:val="17"/>
        </w:rPr>
        <w:t>мин</w:t>
      </w:r>
      <w:proofErr w:type="spellEnd"/>
      <w:r>
        <w:rPr>
          <w:rFonts w:ascii="Cambria Math" w:hAnsi="Cambria Math" w:cs="Cambria Math"/>
          <w:color w:val="auto"/>
          <w:sz w:val="23"/>
          <w:szCs w:val="23"/>
        </w:rPr>
        <w:t>=</w:t>
      </w:r>
      <w:proofErr w:type="spellStart"/>
      <w:r>
        <w:rPr>
          <w:rFonts w:ascii="Cambria Math" w:hAnsi="Cambria Math" w:cs="Cambria Math"/>
          <w:color w:val="auto"/>
          <w:sz w:val="23"/>
          <w:szCs w:val="23"/>
        </w:rPr>
        <w:t>min</w:t>
      </w:r>
      <w:proofErr w:type="spellEnd"/>
      <w:r>
        <w:rPr>
          <w:rFonts w:ascii="Cambria Math" w:hAnsi="Cambria Math" w:cs="Cambria Math"/>
          <w:color w:val="auto"/>
          <w:sz w:val="23"/>
          <w:szCs w:val="23"/>
        </w:rPr>
        <w:t>(СР</w:t>
      </w:r>
      <w:proofErr w:type="gramStart"/>
      <w:r>
        <w:rPr>
          <w:rFonts w:ascii="Cambria Math" w:hAnsi="Cambria Math" w:cs="Cambria Math"/>
          <w:color w:val="auto"/>
          <w:sz w:val="17"/>
          <w:szCs w:val="17"/>
        </w:rPr>
        <w:t>1</w:t>
      </w:r>
      <w:r>
        <w:rPr>
          <w:rFonts w:ascii="Cambria Math" w:hAnsi="Cambria Math" w:cs="Cambria Math"/>
          <w:color w:val="auto"/>
          <w:sz w:val="23"/>
          <w:szCs w:val="23"/>
        </w:rPr>
        <w:t>,…</w:t>
      </w:r>
      <w:proofErr w:type="gramEnd"/>
      <w:r>
        <w:rPr>
          <w:rFonts w:ascii="Cambria Math" w:hAnsi="Cambria Math" w:cs="Cambria Math"/>
          <w:color w:val="auto"/>
          <w:sz w:val="23"/>
          <w:szCs w:val="23"/>
        </w:rPr>
        <w:t>,СР</w:t>
      </w:r>
      <w:r>
        <w:rPr>
          <w:rFonts w:ascii="Cambria Math" w:hAnsi="Cambria Math" w:cs="Cambria Math"/>
          <w:color w:val="auto"/>
          <w:sz w:val="17"/>
          <w:szCs w:val="17"/>
        </w:rPr>
        <w:t>𝑛</w:t>
      </w:r>
      <w:r>
        <w:rPr>
          <w:rFonts w:ascii="Cambria Math" w:hAnsi="Cambria Math" w:cs="Cambria Math"/>
          <w:color w:val="auto"/>
          <w:sz w:val="23"/>
          <w:szCs w:val="23"/>
        </w:rPr>
        <w:t>)</w:t>
      </w:r>
      <w:r>
        <w:rPr>
          <w:color w:val="auto"/>
          <w:sz w:val="23"/>
          <w:szCs w:val="23"/>
        </w:rPr>
        <w:t>.</w:t>
      </w:r>
    </w:p>
    <w:p w:rsidR="00F31429" w:rsidRDefault="00F31429" w:rsidP="00F31429">
      <w:pPr>
        <w:pStyle w:val="Default"/>
        <w:jc w:val="both"/>
        <w:rPr>
          <w:color w:val="auto"/>
          <w:sz w:val="23"/>
          <w:szCs w:val="23"/>
        </w:rPr>
      </w:pPr>
    </w:p>
    <w:p w:rsidR="00635EEF" w:rsidRDefault="00635EEF" w:rsidP="00F31429">
      <w:pPr>
        <w:pStyle w:val="Default"/>
        <w:jc w:val="both"/>
        <w:rPr>
          <w:color w:val="auto"/>
          <w:sz w:val="23"/>
          <w:szCs w:val="23"/>
        </w:rPr>
      </w:pPr>
      <w:r>
        <w:rPr>
          <w:color w:val="auto"/>
          <w:sz w:val="23"/>
          <w:szCs w:val="23"/>
        </w:rPr>
        <w:t xml:space="preserve">….. (текст) </w:t>
      </w:r>
    </w:p>
    <w:p w:rsidR="00635EEF" w:rsidRDefault="00635EEF" w:rsidP="00F31429">
      <w:pPr>
        <w:pStyle w:val="Default"/>
        <w:jc w:val="both"/>
        <w:rPr>
          <w:color w:val="auto"/>
          <w:sz w:val="23"/>
          <w:szCs w:val="23"/>
        </w:rPr>
      </w:pPr>
      <w:r>
        <w:rPr>
          <w:color w:val="auto"/>
          <w:sz w:val="23"/>
          <w:szCs w:val="23"/>
        </w:rPr>
        <w:t xml:space="preserve">….. (текст) </w:t>
      </w:r>
    </w:p>
    <w:p w:rsidR="00F31429" w:rsidRDefault="00F31429" w:rsidP="00F31429">
      <w:pPr>
        <w:pStyle w:val="Default"/>
        <w:jc w:val="both"/>
        <w:rPr>
          <w:color w:val="auto"/>
          <w:sz w:val="23"/>
          <w:szCs w:val="23"/>
        </w:rPr>
      </w:pPr>
    </w:p>
    <w:p w:rsidR="00635EEF" w:rsidRDefault="00635EEF" w:rsidP="00F31429">
      <w:pPr>
        <w:pStyle w:val="Default"/>
        <w:ind w:firstLine="709"/>
        <w:jc w:val="center"/>
        <w:rPr>
          <w:b/>
          <w:bCs/>
          <w:color w:val="auto"/>
          <w:sz w:val="28"/>
          <w:szCs w:val="28"/>
        </w:rPr>
      </w:pPr>
      <w:r>
        <w:rPr>
          <w:b/>
          <w:bCs/>
          <w:color w:val="auto"/>
          <w:sz w:val="28"/>
          <w:szCs w:val="28"/>
        </w:rPr>
        <w:t>Список литературы</w:t>
      </w:r>
    </w:p>
    <w:p w:rsidR="00F31429" w:rsidRDefault="00F31429" w:rsidP="00F31429">
      <w:pPr>
        <w:pStyle w:val="Default"/>
        <w:ind w:firstLine="709"/>
        <w:jc w:val="center"/>
        <w:rPr>
          <w:color w:val="auto"/>
          <w:sz w:val="28"/>
          <w:szCs w:val="28"/>
        </w:rPr>
      </w:pPr>
    </w:p>
    <w:p w:rsidR="00635EEF" w:rsidRDefault="00635EEF" w:rsidP="00F31429">
      <w:pPr>
        <w:pStyle w:val="Default"/>
        <w:tabs>
          <w:tab w:val="left" w:pos="1134"/>
        </w:tabs>
        <w:spacing w:after="26"/>
        <w:ind w:firstLine="709"/>
        <w:jc w:val="both"/>
        <w:rPr>
          <w:color w:val="auto"/>
          <w:sz w:val="22"/>
          <w:szCs w:val="22"/>
        </w:rPr>
      </w:pPr>
      <w:r>
        <w:rPr>
          <w:i/>
          <w:iCs/>
          <w:color w:val="auto"/>
          <w:sz w:val="23"/>
          <w:szCs w:val="23"/>
        </w:rPr>
        <w:t xml:space="preserve">1. </w:t>
      </w:r>
      <w:r w:rsidR="00F31429">
        <w:rPr>
          <w:i/>
          <w:iCs/>
          <w:color w:val="auto"/>
          <w:sz w:val="23"/>
          <w:szCs w:val="23"/>
        </w:rPr>
        <w:tab/>
      </w:r>
      <w:r>
        <w:rPr>
          <w:i/>
          <w:iCs/>
          <w:color w:val="auto"/>
          <w:sz w:val="22"/>
          <w:szCs w:val="22"/>
        </w:rPr>
        <w:t xml:space="preserve">НП-091-14 «Обеспечение безопасности при выводе из эксплуатации объектов использования атомной энергии. Общие положения». </w:t>
      </w:r>
    </w:p>
    <w:p w:rsidR="00635EEF" w:rsidRDefault="00635EEF" w:rsidP="00F31429">
      <w:pPr>
        <w:pStyle w:val="Default"/>
        <w:tabs>
          <w:tab w:val="left" w:pos="1134"/>
        </w:tabs>
        <w:spacing w:after="26"/>
        <w:ind w:firstLine="709"/>
        <w:jc w:val="both"/>
        <w:rPr>
          <w:color w:val="auto"/>
          <w:sz w:val="22"/>
          <w:szCs w:val="22"/>
        </w:rPr>
      </w:pPr>
      <w:r>
        <w:rPr>
          <w:i/>
          <w:iCs/>
          <w:color w:val="auto"/>
          <w:sz w:val="23"/>
          <w:szCs w:val="23"/>
        </w:rPr>
        <w:t xml:space="preserve">2. </w:t>
      </w:r>
      <w:r w:rsidR="00F31429">
        <w:rPr>
          <w:i/>
          <w:iCs/>
          <w:color w:val="auto"/>
          <w:sz w:val="23"/>
          <w:szCs w:val="23"/>
        </w:rPr>
        <w:tab/>
      </w:r>
      <w:proofErr w:type="spellStart"/>
      <w:r>
        <w:rPr>
          <w:i/>
          <w:iCs/>
          <w:color w:val="auto"/>
          <w:sz w:val="22"/>
          <w:szCs w:val="22"/>
        </w:rPr>
        <w:t>Емец</w:t>
      </w:r>
      <w:proofErr w:type="spellEnd"/>
      <w:r>
        <w:rPr>
          <w:i/>
          <w:iCs/>
          <w:color w:val="auto"/>
          <w:sz w:val="22"/>
          <w:szCs w:val="22"/>
        </w:rPr>
        <w:t xml:space="preserve"> П.Е., Ковалевич О.М., </w:t>
      </w:r>
      <w:proofErr w:type="spellStart"/>
      <w:r>
        <w:rPr>
          <w:i/>
          <w:iCs/>
          <w:color w:val="auto"/>
          <w:sz w:val="22"/>
          <w:szCs w:val="22"/>
        </w:rPr>
        <w:t>Крянев</w:t>
      </w:r>
      <w:proofErr w:type="spellEnd"/>
      <w:r>
        <w:rPr>
          <w:i/>
          <w:iCs/>
          <w:color w:val="auto"/>
          <w:sz w:val="22"/>
          <w:szCs w:val="22"/>
        </w:rPr>
        <w:t xml:space="preserve"> А.В., </w:t>
      </w:r>
      <w:proofErr w:type="spellStart"/>
      <w:r>
        <w:rPr>
          <w:i/>
          <w:iCs/>
          <w:color w:val="auto"/>
          <w:sz w:val="22"/>
          <w:szCs w:val="22"/>
        </w:rPr>
        <w:t>Неретин</w:t>
      </w:r>
      <w:proofErr w:type="spellEnd"/>
      <w:r>
        <w:rPr>
          <w:i/>
          <w:iCs/>
          <w:color w:val="auto"/>
          <w:sz w:val="22"/>
          <w:szCs w:val="22"/>
        </w:rPr>
        <w:t xml:space="preserve"> В.А., </w:t>
      </w:r>
      <w:proofErr w:type="spellStart"/>
      <w:r>
        <w:rPr>
          <w:i/>
          <w:iCs/>
          <w:color w:val="auto"/>
          <w:sz w:val="22"/>
          <w:szCs w:val="22"/>
        </w:rPr>
        <w:t>Шарафутдинов</w:t>
      </w:r>
      <w:proofErr w:type="spellEnd"/>
      <w:r>
        <w:rPr>
          <w:i/>
          <w:iCs/>
          <w:color w:val="auto"/>
          <w:sz w:val="22"/>
          <w:szCs w:val="22"/>
        </w:rPr>
        <w:t xml:space="preserve"> Р.Б. Системный подход при финансировании мероприятий по выводу из эксплуатации ЯРОО, классифицируемых в зависимости от категории их ЯРО. Препринт МИФИ 005-2007. М.: МИФИ, 2007, 23 с. </w:t>
      </w:r>
    </w:p>
    <w:p w:rsidR="00635EEF" w:rsidRDefault="00635EEF" w:rsidP="00F31429">
      <w:pPr>
        <w:pStyle w:val="Default"/>
        <w:tabs>
          <w:tab w:val="left" w:pos="1134"/>
        </w:tabs>
        <w:ind w:firstLine="709"/>
        <w:jc w:val="both"/>
        <w:rPr>
          <w:color w:val="auto"/>
          <w:sz w:val="22"/>
          <w:szCs w:val="22"/>
        </w:rPr>
      </w:pPr>
      <w:r>
        <w:rPr>
          <w:i/>
          <w:iCs/>
          <w:color w:val="auto"/>
          <w:sz w:val="23"/>
          <w:szCs w:val="23"/>
        </w:rPr>
        <w:t xml:space="preserve">3. </w:t>
      </w:r>
      <w:proofErr w:type="spellStart"/>
      <w:r>
        <w:rPr>
          <w:i/>
          <w:iCs/>
          <w:color w:val="auto"/>
          <w:sz w:val="22"/>
          <w:szCs w:val="22"/>
        </w:rPr>
        <w:t>Емец</w:t>
      </w:r>
      <w:proofErr w:type="spellEnd"/>
      <w:r>
        <w:rPr>
          <w:i/>
          <w:iCs/>
          <w:color w:val="auto"/>
          <w:sz w:val="22"/>
          <w:szCs w:val="22"/>
        </w:rPr>
        <w:t xml:space="preserve"> П.Е., </w:t>
      </w:r>
      <w:proofErr w:type="spellStart"/>
      <w:r>
        <w:rPr>
          <w:i/>
          <w:iCs/>
          <w:color w:val="auto"/>
          <w:sz w:val="22"/>
          <w:szCs w:val="22"/>
        </w:rPr>
        <w:t>Крянев</w:t>
      </w:r>
      <w:proofErr w:type="spellEnd"/>
      <w:r>
        <w:rPr>
          <w:i/>
          <w:iCs/>
          <w:color w:val="auto"/>
          <w:sz w:val="22"/>
          <w:szCs w:val="22"/>
        </w:rPr>
        <w:t xml:space="preserve"> А.В. Схема системных оценок оптимального объёма финансирования, направляемого на обеспечение ядерной и радиационной безопасности выводимых из эксплуатации </w:t>
      </w:r>
      <w:proofErr w:type="spellStart"/>
      <w:r>
        <w:rPr>
          <w:i/>
          <w:iCs/>
          <w:color w:val="auto"/>
          <w:sz w:val="22"/>
          <w:szCs w:val="22"/>
        </w:rPr>
        <w:t>ядерно</w:t>
      </w:r>
      <w:proofErr w:type="spellEnd"/>
      <w:r>
        <w:rPr>
          <w:i/>
          <w:iCs/>
          <w:color w:val="auto"/>
          <w:sz w:val="22"/>
          <w:szCs w:val="22"/>
        </w:rPr>
        <w:t xml:space="preserve"> и </w:t>
      </w:r>
      <w:proofErr w:type="spellStart"/>
      <w:r>
        <w:rPr>
          <w:i/>
          <w:iCs/>
          <w:color w:val="auto"/>
          <w:sz w:val="22"/>
          <w:szCs w:val="22"/>
        </w:rPr>
        <w:t>радиационно</w:t>
      </w:r>
      <w:proofErr w:type="spellEnd"/>
      <w:r>
        <w:rPr>
          <w:i/>
          <w:iCs/>
          <w:color w:val="auto"/>
          <w:sz w:val="22"/>
          <w:szCs w:val="22"/>
        </w:rPr>
        <w:t xml:space="preserve"> опасных объектов. Аудит и финансовый анализ. №3, 2010. </w:t>
      </w:r>
    </w:p>
    <w:p w:rsidR="00CC7384" w:rsidRDefault="00CC7384"/>
    <w:p w:rsidR="0006737E" w:rsidRDefault="0006737E"/>
    <w:p w:rsidR="0006737E" w:rsidRPr="0006737E" w:rsidRDefault="0006737E" w:rsidP="0006737E">
      <w:pPr>
        <w:spacing w:before="120" w:after="0" w:line="240" w:lineRule="auto"/>
        <w:jc w:val="center"/>
        <w:rPr>
          <w:rFonts w:ascii="Times New Roman" w:eastAsia="Times New Roman" w:hAnsi="Times New Roman" w:cs="Times New Roman"/>
          <w:b/>
          <w:i/>
          <w:sz w:val="28"/>
          <w:szCs w:val="28"/>
          <w:u w:val="single"/>
          <w:lang w:eastAsia="ru-RU"/>
        </w:rPr>
      </w:pPr>
      <w:r w:rsidRPr="0006737E">
        <w:rPr>
          <w:rFonts w:ascii="Times New Roman" w:eastAsia="Times New Roman" w:hAnsi="Times New Roman" w:cs="Times New Roman"/>
          <w:b/>
          <w:i/>
          <w:sz w:val="28"/>
          <w:szCs w:val="28"/>
          <w:u w:val="single"/>
          <w:lang w:eastAsia="ru-RU"/>
        </w:rPr>
        <w:t xml:space="preserve">Тезисы докладов </w:t>
      </w:r>
      <w:r>
        <w:rPr>
          <w:rFonts w:ascii="Times New Roman" w:eastAsia="Times New Roman" w:hAnsi="Times New Roman" w:cs="Times New Roman"/>
          <w:b/>
          <w:i/>
          <w:sz w:val="28"/>
          <w:szCs w:val="28"/>
          <w:u w:val="single"/>
          <w:lang w:eastAsia="ru-RU"/>
        </w:rPr>
        <w:t>предоставить</w:t>
      </w:r>
      <w:r w:rsidRPr="0006737E">
        <w:rPr>
          <w:rFonts w:ascii="Times New Roman" w:eastAsia="Times New Roman" w:hAnsi="Times New Roman" w:cs="Times New Roman"/>
          <w:b/>
          <w:i/>
          <w:sz w:val="28"/>
          <w:szCs w:val="28"/>
          <w:u w:val="single"/>
          <w:lang w:eastAsia="ru-RU"/>
        </w:rPr>
        <w:t xml:space="preserve"> до 01 июля 2023 года.</w:t>
      </w:r>
    </w:p>
    <w:p w:rsidR="0006737E" w:rsidRPr="0006737E" w:rsidRDefault="0006737E" w:rsidP="0006737E">
      <w:pPr>
        <w:jc w:val="center"/>
        <w:rPr>
          <w:sz w:val="28"/>
          <w:szCs w:val="28"/>
        </w:rPr>
      </w:pPr>
    </w:p>
    <w:sectPr w:rsidR="0006737E" w:rsidRPr="0006737E" w:rsidSect="00F31429">
      <w:pgSz w:w="11906" w:h="17338"/>
      <w:pgMar w:top="1134" w:right="1418" w:bottom="1418" w:left="141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EEF"/>
    <w:rsid w:val="0006737E"/>
    <w:rsid w:val="000A4794"/>
    <w:rsid w:val="000F11F9"/>
    <w:rsid w:val="00237729"/>
    <w:rsid w:val="00481A1B"/>
    <w:rsid w:val="005201FC"/>
    <w:rsid w:val="005B4FDE"/>
    <w:rsid w:val="00635EEF"/>
    <w:rsid w:val="00660B58"/>
    <w:rsid w:val="00710748"/>
    <w:rsid w:val="007B135A"/>
    <w:rsid w:val="008033D4"/>
    <w:rsid w:val="0080376B"/>
    <w:rsid w:val="00966A5B"/>
    <w:rsid w:val="00B750D6"/>
    <w:rsid w:val="00B932E7"/>
    <w:rsid w:val="00C86DDE"/>
    <w:rsid w:val="00CC7384"/>
    <w:rsid w:val="00DB781D"/>
    <w:rsid w:val="00EE67F1"/>
    <w:rsid w:val="00F31429"/>
    <w:rsid w:val="00FC2831"/>
    <w:rsid w:val="00FD6C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90339A-C490-49CE-9888-0961625A2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737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35EEF"/>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Hyperlink"/>
    <w:basedOn w:val="a0"/>
    <w:uiPriority w:val="99"/>
    <w:unhideWhenUsed/>
    <w:rsid w:val="007B13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3</Pages>
  <Words>879</Words>
  <Characters>5014</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Цатурова Наталья Николаевна</dc:creator>
  <cp:keywords/>
  <dc:description/>
  <cp:lastModifiedBy>Сирина Анна Михайловна</cp:lastModifiedBy>
  <cp:revision>18</cp:revision>
  <dcterms:created xsi:type="dcterms:W3CDTF">2023-03-14T05:26:00Z</dcterms:created>
  <dcterms:modified xsi:type="dcterms:W3CDTF">2023-03-14T11:46:00Z</dcterms:modified>
</cp:coreProperties>
</file>